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580D" w:rsidRPr="00C32358" w:rsidRDefault="00CC580D" w:rsidP="00CC580D">
      <w:pPr>
        <w:tabs>
          <w:tab w:val="right" w:pos="9216"/>
        </w:tabs>
        <w:autoSpaceDE w:val="0"/>
        <w:autoSpaceDN w:val="0"/>
        <w:adjustRightInd w:val="0"/>
        <w:spacing w:after="0" w:line="240" w:lineRule="auto"/>
        <w:rPr>
          <w:rFonts w:ascii="Arial" w:hAnsi="Arial" w:cs="Arial"/>
          <w:b/>
          <w:bCs/>
          <w:sz w:val="20"/>
          <w:szCs w:val="20"/>
          <w:lang w:val="en"/>
        </w:rPr>
      </w:pPr>
      <w:r w:rsidRPr="00C32358">
        <w:rPr>
          <w:rFonts w:ascii="Arial" w:hAnsi="Arial" w:cs="Arial"/>
          <w:b/>
          <w:bCs/>
          <w:sz w:val="20"/>
          <w:szCs w:val="20"/>
          <w:lang w:val="en"/>
        </w:rPr>
        <w:t>3GPP TSG RAN WG1 Meeting #92</w:t>
      </w:r>
      <w:r w:rsidRPr="00C32358">
        <w:rPr>
          <w:rFonts w:ascii="Arial" w:hAnsi="Arial" w:cs="Arial"/>
          <w:b/>
          <w:bCs/>
          <w:sz w:val="20"/>
          <w:szCs w:val="20"/>
          <w:lang w:val="en"/>
        </w:rPr>
        <w:tab/>
        <w:t>R1-</w:t>
      </w:r>
      <w:r w:rsidRPr="00C32358">
        <w:rPr>
          <w:rFonts w:ascii="Arial" w:hAnsi="Arial" w:cs="Arial"/>
          <w:sz w:val="20"/>
          <w:szCs w:val="20"/>
          <w:lang w:val="en"/>
        </w:rPr>
        <w:t xml:space="preserve"> </w:t>
      </w:r>
      <w:r w:rsidRPr="00C32358">
        <w:rPr>
          <w:rFonts w:ascii="Arial" w:hAnsi="Arial" w:cs="Arial"/>
          <w:b/>
          <w:bCs/>
          <w:sz w:val="20"/>
          <w:szCs w:val="20"/>
          <w:lang w:val="en"/>
        </w:rPr>
        <w:t>1806993</w:t>
      </w:r>
    </w:p>
    <w:p w:rsidR="00CC580D" w:rsidRPr="00C32358" w:rsidRDefault="00CC580D" w:rsidP="00CC580D">
      <w:pPr>
        <w:autoSpaceDE w:val="0"/>
        <w:autoSpaceDN w:val="0"/>
        <w:adjustRightInd w:val="0"/>
        <w:spacing w:after="120" w:line="240" w:lineRule="auto"/>
        <w:rPr>
          <w:rFonts w:ascii="Arial" w:hAnsi="Arial" w:cs="Arial"/>
          <w:b/>
          <w:bCs/>
          <w:sz w:val="20"/>
          <w:szCs w:val="20"/>
          <w:lang w:val="en"/>
        </w:rPr>
      </w:pPr>
      <w:r w:rsidRPr="00C32358">
        <w:rPr>
          <w:rFonts w:ascii="Arial" w:hAnsi="Arial" w:cs="Arial"/>
          <w:b/>
          <w:bCs/>
          <w:sz w:val="20"/>
          <w:szCs w:val="20"/>
          <w:lang w:val="en"/>
        </w:rPr>
        <w:t>Busan, South Korea, May 21 – 25, 2018</w:t>
      </w:r>
    </w:p>
    <w:p w:rsidR="00CC580D" w:rsidRPr="00C32358" w:rsidRDefault="00CC580D" w:rsidP="00CC580D">
      <w:pPr>
        <w:autoSpaceDE w:val="0"/>
        <w:autoSpaceDN w:val="0"/>
        <w:adjustRightInd w:val="0"/>
        <w:spacing w:after="0" w:line="240" w:lineRule="auto"/>
        <w:rPr>
          <w:rFonts w:ascii="Arial" w:hAnsi="Arial" w:cs="Arial"/>
          <w:b/>
          <w:bCs/>
          <w:sz w:val="20"/>
          <w:szCs w:val="20"/>
          <w:lang w:val="en"/>
        </w:rPr>
      </w:pPr>
    </w:p>
    <w:p w:rsidR="00CC580D" w:rsidRPr="00C32358" w:rsidRDefault="00CC580D" w:rsidP="00CC580D">
      <w:pPr>
        <w:autoSpaceDE w:val="0"/>
        <w:autoSpaceDN w:val="0"/>
        <w:adjustRightInd w:val="0"/>
        <w:spacing w:after="60" w:line="240" w:lineRule="auto"/>
        <w:ind w:left="1555" w:hanging="1555"/>
        <w:rPr>
          <w:rFonts w:ascii="Arial" w:hAnsi="Arial" w:cs="Arial"/>
          <w:b/>
          <w:bCs/>
          <w:sz w:val="20"/>
          <w:szCs w:val="20"/>
          <w:lang w:val="en"/>
        </w:rPr>
      </w:pPr>
      <w:r w:rsidRPr="00C32358">
        <w:rPr>
          <w:rFonts w:ascii="Arial" w:hAnsi="Arial" w:cs="Arial"/>
          <w:b/>
          <w:bCs/>
          <w:sz w:val="20"/>
          <w:szCs w:val="20"/>
          <w:lang w:val="en"/>
        </w:rPr>
        <w:t>Agenda Item:</w:t>
      </w:r>
      <w:r w:rsidRPr="00C32358">
        <w:rPr>
          <w:rFonts w:ascii="Arial" w:hAnsi="Arial" w:cs="Arial"/>
          <w:b/>
          <w:bCs/>
          <w:sz w:val="20"/>
          <w:szCs w:val="20"/>
          <w:lang w:val="en"/>
        </w:rPr>
        <w:tab/>
        <w:t>7.3.1</w:t>
      </w:r>
    </w:p>
    <w:p w:rsidR="00CC580D" w:rsidRPr="00C32358" w:rsidRDefault="00CC580D" w:rsidP="00CC580D">
      <w:pPr>
        <w:autoSpaceDE w:val="0"/>
        <w:autoSpaceDN w:val="0"/>
        <w:adjustRightInd w:val="0"/>
        <w:spacing w:after="60" w:line="240" w:lineRule="auto"/>
        <w:ind w:left="1555" w:hanging="1555"/>
        <w:rPr>
          <w:rFonts w:ascii="Arial" w:hAnsi="Arial" w:cs="Arial"/>
          <w:b/>
          <w:bCs/>
          <w:sz w:val="20"/>
          <w:szCs w:val="20"/>
          <w:lang w:val="en"/>
        </w:rPr>
      </w:pPr>
      <w:r w:rsidRPr="00C32358">
        <w:rPr>
          <w:rFonts w:ascii="Arial" w:hAnsi="Arial" w:cs="Arial"/>
          <w:b/>
          <w:bCs/>
          <w:sz w:val="20"/>
          <w:szCs w:val="20"/>
          <w:lang w:val="en"/>
        </w:rPr>
        <w:t>Source: Nokia, Nokia Shanghai Bell</w:t>
      </w:r>
    </w:p>
    <w:p w:rsidR="00CC580D" w:rsidRPr="00C32358" w:rsidRDefault="00CC580D" w:rsidP="00CC580D">
      <w:pPr>
        <w:autoSpaceDE w:val="0"/>
        <w:autoSpaceDN w:val="0"/>
        <w:adjustRightInd w:val="0"/>
        <w:spacing w:after="60" w:line="240" w:lineRule="auto"/>
        <w:ind w:left="1555" w:hanging="1555"/>
        <w:rPr>
          <w:rFonts w:ascii="Arial" w:hAnsi="Arial" w:cs="Arial"/>
          <w:b/>
          <w:bCs/>
          <w:sz w:val="20"/>
          <w:szCs w:val="20"/>
          <w:lang w:val="en"/>
        </w:rPr>
      </w:pPr>
      <w:r w:rsidRPr="00C32358">
        <w:rPr>
          <w:rFonts w:ascii="Arial" w:hAnsi="Arial" w:cs="Arial"/>
          <w:b/>
          <w:bCs/>
          <w:sz w:val="20"/>
          <w:szCs w:val="20"/>
          <w:lang w:val="en"/>
        </w:rPr>
        <w:t>Title: Text proposal for LOS probability, path loss and shadow fading in TR38.811</w:t>
      </w:r>
      <w:r w:rsidRPr="00C32358">
        <w:rPr>
          <w:rFonts w:ascii="Arial" w:hAnsi="Arial" w:cs="Arial"/>
          <w:b/>
          <w:bCs/>
          <w:sz w:val="20"/>
          <w:szCs w:val="20"/>
          <w:lang w:val="en"/>
        </w:rPr>
        <w:tab/>
      </w:r>
    </w:p>
    <w:p w:rsidR="00CC580D" w:rsidRDefault="00CC580D" w:rsidP="00CC580D">
      <w:pPr>
        <w:autoSpaceDE w:val="0"/>
        <w:autoSpaceDN w:val="0"/>
        <w:adjustRightInd w:val="0"/>
        <w:spacing w:after="60" w:line="240" w:lineRule="auto"/>
        <w:ind w:left="1555" w:hanging="1555"/>
        <w:rPr>
          <w:rFonts w:ascii="Arial" w:hAnsi="Arial" w:cs="Arial"/>
          <w:b/>
          <w:bCs/>
          <w:lang w:val="en"/>
        </w:rPr>
      </w:pPr>
      <w:r w:rsidRPr="00C32358">
        <w:rPr>
          <w:rFonts w:ascii="Arial" w:hAnsi="Arial" w:cs="Arial"/>
          <w:b/>
          <w:bCs/>
          <w:sz w:val="20"/>
          <w:szCs w:val="20"/>
          <w:lang w:val="en"/>
        </w:rPr>
        <w:t>Document for:</w:t>
      </w:r>
      <w:r w:rsidRPr="00C32358">
        <w:rPr>
          <w:rFonts w:ascii="Arial" w:hAnsi="Arial" w:cs="Arial"/>
          <w:b/>
          <w:bCs/>
          <w:sz w:val="20"/>
          <w:szCs w:val="20"/>
          <w:lang w:val="en"/>
        </w:rPr>
        <w:tab/>
        <w:t>Discussion and decision</w:t>
      </w:r>
      <w:r>
        <w:rPr>
          <w:rFonts w:ascii="Arial" w:hAnsi="Arial" w:cs="Arial"/>
          <w:b/>
          <w:bCs/>
          <w:lang w:val="en"/>
        </w:rPr>
        <w:t xml:space="preserve"> </w:t>
      </w:r>
    </w:p>
    <w:p w:rsidR="00CC580D" w:rsidRDefault="006A30A3" w:rsidP="00CC580D">
      <w:pPr>
        <w:autoSpaceDE w:val="0"/>
        <w:autoSpaceDN w:val="0"/>
        <w:adjustRightInd w:val="0"/>
        <w:spacing w:after="0" w:line="240" w:lineRule="auto"/>
        <w:rPr>
          <w:rFonts w:ascii="Arial" w:hAnsi="Arial" w:cs="Arial"/>
          <w:b/>
          <w:bCs/>
          <w:sz w:val="16"/>
          <w:szCs w:val="16"/>
          <w:lang w:val="en"/>
        </w:rPr>
      </w:pPr>
      <w:r>
        <w:rPr>
          <w:rFonts w:ascii="Arial" w:hAnsi="Arial" w:cs="Arial"/>
          <w:b/>
          <w:bCs/>
          <w:sz w:val="16"/>
          <w:szCs w:val="16"/>
          <w:lang w:val="en"/>
        </w:rPr>
        <w:pict>
          <v:rect id="_x0000_i1025" style="width:468pt;height:1.5pt" o:hralign="center" o:hrstd="t" o:hrnoshade="t" o:hr="t" fillcolor="black [3213]" stroked="f"/>
        </w:pict>
      </w:r>
    </w:p>
    <w:p w:rsidR="00CC580D" w:rsidRDefault="00CC580D" w:rsidP="002531FC">
      <w:pPr>
        <w:pStyle w:val="Heading1"/>
        <w:rPr>
          <w:lang w:val="en"/>
        </w:rPr>
      </w:pPr>
      <w:r>
        <w:rPr>
          <w:lang w:val="en"/>
        </w:rPr>
        <w:t>Introduction</w:t>
      </w:r>
    </w:p>
    <w:p w:rsidR="00CC580D" w:rsidRDefault="00CC580D" w:rsidP="00CC580D">
      <w:pPr>
        <w:autoSpaceDE w:val="0"/>
        <w:autoSpaceDN w:val="0"/>
        <w:adjustRightInd w:val="0"/>
        <w:spacing w:after="120" w:line="240" w:lineRule="auto"/>
        <w:jc w:val="both"/>
        <w:rPr>
          <w:rFonts w:ascii="Calibri" w:hAnsi="Calibri" w:cs="Calibri"/>
          <w:lang w:val="en"/>
        </w:rPr>
      </w:pPr>
      <w:r>
        <w:rPr>
          <w:rFonts w:ascii="Calibri" w:hAnsi="Calibri" w:cs="Calibri"/>
          <w:lang w:val="en"/>
        </w:rPr>
        <w:t xml:space="preserve">In the last meeting, line-of-sight (LOS) probability for Dense Urban, Urban, and Suburban scenarios in NTN channel model has been agreed [1], but path loss model and shadow fading are still to be finalized. In this contribution, we propose the text for Section 6.6.1 (LOS probability) and Section 6.6.2 (Path loss and shadow fading) of TR 38.811. </w:t>
      </w:r>
    </w:p>
    <w:p w:rsidR="00CC580D" w:rsidRDefault="00CC580D" w:rsidP="002531FC">
      <w:pPr>
        <w:pStyle w:val="Heading1"/>
        <w:rPr>
          <w:lang w:val="en"/>
        </w:rPr>
      </w:pPr>
      <w:r>
        <w:rPr>
          <w:lang w:val="en"/>
        </w:rPr>
        <w:t>Path loss and shadow fading</w:t>
      </w:r>
    </w:p>
    <w:p w:rsidR="00CC580D" w:rsidRDefault="00CC580D" w:rsidP="00CC580D">
      <w:pPr>
        <w:autoSpaceDE w:val="0"/>
        <w:autoSpaceDN w:val="0"/>
        <w:adjustRightInd w:val="0"/>
        <w:spacing w:after="120" w:line="240" w:lineRule="auto"/>
        <w:jc w:val="both"/>
        <w:rPr>
          <w:rFonts w:ascii="Calibri" w:hAnsi="Calibri" w:cs="Calibri"/>
          <w:lang w:val="en"/>
        </w:rPr>
      </w:pPr>
      <w:r>
        <w:rPr>
          <w:rFonts w:ascii="Calibri" w:hAnsi="Calibri" w:cs="Calibri"/>
          <w:lang w:val="en"/>
        </w:rPr>
        <w:t>It is generally agreed that the basic path loss for NTN, which is the propagation loss excluding rain and gas absorption, atmospheric scintillation, and building entry, can be modeled as a combination of the free space path loss (FSPL) and a clutter loss [2][3][4][5]. The clutter loss is a result of signal being obstructed by the ground obstacles surrounding the UE. It is found to be negligible when the UE is in a LOS condition, but becomes significant when the link is NLOS [2][3][4]. The magnitude of clutter loss in NLOS condition depends on the elevation angle, the carrier frequency, and environment. Figure 1 shows the NLOS clutter loss observed in ray tracing data of Dense Urban (based on Chicago downtown map) and Suburban (based on Arlington Heights, Illinois map) scenarios. One can see that the loss is more severe at low elevation angles, in higher frequency, and in Dense Urban environment.</w:t>
      </w:r>
    </w:p>
    <w:p w:rsidR="00CC580D" w:rsidRDefault="00CC580D" w:rsidP="00CC580D">
      <w:pPr>
        <w:autoSpaceDE w:val="0"/>
        <w:autoSpaceDN w:val="0"/>
        <w:adjustRightInd w:val="0"/>
        <w:spacing w:after="120" w:line="240" w:lineRule="auto"/>
        <w:jc w:val="center"/>
        <w:rPr>
          <w:rFonts w:ascii="Calibri" w:hAnsi="Calibri" w:cs="Calibri"/>
          <w:lang w:val="en"/>
        </w:rPr>
      </w:pPr>
      <w:r>
        <w:rPr>
          <w:rFonts w:ascii="Calibri" w:hAnsi="Calibri" w:cs="Calibri"/>
          <w:noProof/>
          <w:lang w:val="en"/>
        </w:rPr>
        <w:drawing>
          <wp:inline distT="0" distB="0" distL="0" distR="0">
            <wp:extent cx="3590925" cy="26860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90925" cy="2686050"/>
                    </a:xfrm>
                    <a:prstGeom prst="rect">
                      <a:avLst/>
                    </a:prstGeom>
                    <a:noFill/>
                    <a:ln>
                      <a:noFill/>
                    </a:ln>
                  </pic:spPr>
                </pic:pic>
              </a:graphicData>
            </a:graphic>
          </wp:inline>
        </w:drawing>
      </w:r>
    </w:p>
    <w:p w:rsidR="00CC580D" w:rsidRDefault="00CC580D" w:rsidP="00CC580D">
      <w:pPr>
        <w:autoSpaceDE w:val="0"/>
        <w:autoSpaceDN w:val="0"/>
        <w:adjustRightInd w:val="0"/>
        <w:spacing w:before="60" w:after="240" w:line="240" w:lineRule="auto"/>
        <w:jc w:val="center"/>
        <w:rPr>
          <w:rFonts w:ascii="Calibri" w:hAnsi="Calibri" w:cs="Calibri"/>
          <w:b/>
          <w:bCs/>
          <w:sz w:val="18"/>
          <w:szCs w:val="18"/>
          <w:lang w:val="en"/>
        </w:rPr>
      </w:pPr>
      <w:r>
        <w:rPr>
          <w:rFonts w:ascii="Calibri" w:hAnsi="Calibri" w:cs="Calibri"/>
          <w:b/>
          <w:bCs/>
          <w:sz w:val="18"/>
          <w:szCs w:val="18"/>
          <w:lang w:val="en"/>
        </w:rPr>
        <w:t>Figure . Clutter loss as a function of elevation angle</w:t>
      </w:r>
    </w:p>
    <w:p w:rsidR="00CC580D" w:rsidRDefault="00CC580D" w:rsidP="00CC580D">
      <w:pPr>
        <w:autoSpaceDE w:val="0"/>
        <w:autoSpaceDN w:val="0"/>
        <w:adjustRightInd w:val="0"/>
        <w:spacing w:after="120" w:line="240" w:lineRule="auto"/>
        <w:jc w:val="both"/>
        <w:rPr>
          <w:rFonts w:ascii="Calibri" w:hAnsi="Calibri" w:cs="Calibri"/>
          <w:b/>
          <w:bCs/>
          <w:i/>
          <w:iCs/>
          <w:lang w:val="en"/>
        </w:rPr>
      </w:pPr>
      <w:r>
        <w:rPr>
          <w:rFonts w:ascii="Calibri" w:hAnsi="Calibri" w:cs="Calibri"/>
          <w:b/>
          <w:bCs/>
          <w:i/>
          <w:iCs/>
          <w:lang w:val="en"/>
        </w:rPr>
        <w:t>Proposal 1: Use FSPL as the basic path loss for LOS. Use (FSPL + clutter loss) as the basic path loss for NLOS.</w:t>
      </w:r>
    </w:p>
    <w:p w:rsidR="00CC580D" w:rsidRDefault="00CC580D" w:rsidP="00CC580D">
      <w:pPr>
        <w:autoSpaceDE w:val="0"/>
        <w:autoSpaceDN w:val="0"/>
        <w:adjustRightInd w:val="0"/>
        <w:spacing w:after="120" w:line="240" w:lineRule="auto"/>
        <w:jc w:val="both"/>
        <w:rPr>
          <w:rFonts w:ascii="Calibri" w:hAnsi="Calibri" w:cs="Calibri"/>
          <w:b/>
          <w:bCs/>
          <w:i/>
          <w:iCs/>
          <w:lang w:val="en"/>
        </w:rPr>
      </w:pPr>
      <w:r>
        <w:rPr>
          <w:rFonts w:ascii="Calibri" w:hAnsi="Calibri" w:cs="Calibri"/>
          <w:b/>
          <w:bCs/>
          <w:i/>
          <w:iCs/>
          <w:lang w:val="en"/>
        </w:rPr>
        <w:lastRenderedPageBreak/>
        <w:t>Proposal 2: Specify the NLOS clutter loss as a function of elevation angle, carrier frequency, and environment.</w:t>
      </w:r>
    </w:p>
    <w:p w:rsidR="00CC580D" w:rsidRDefault="00CC580D" w:rsidP="00CC580D">
      <w:pPr>
        <w:autoSpaceDE w:val="0"/>
        <w:autoSpaceDN w:val="0"/>
        <w:adjustRightInd w:val="0"/>
        <w:spacing w:after="120" w:line="240" w:lineRule="auto"/>
        <w:jc w:val="both"/>
        <w:rPr>
          <w:rFonts w:ascii="Calibri" w:hAnsi="Calibri" w:cs="Calibri"/>
          <w:lang w:val="en"/>
        </w:rPr>
      </w:pPr>
      <w:r>
        <w:rPr>
          <w:rFonts w:ascii="Calibri" w:hAnsi="Calibri" w:cs="Calibri"/>
          <w:lang w:val="en"/>
        </w:rPr>
        <w:t xml:space="preserve">Shadow fading is typically characterized as a random process of log-normally distribution, or normal distribution in dB unit. The standard deviation of the normal distribution should unbiasedly reflect the uncertainty of the path loss model. </w:t>
      </w:r>
    </w:p>
    <w:p w:rsidR="00CC580D" w:rsidRDefault="00CC580D" w:rsidP="002531FC">
      <w:pPr>
        <w:pStyle w:val="Heading1"/>
        <w:rPr>
          <w:lang w:val="en"/>
        </w:rPr>
      </w:pPr>
      <w:r>
        <w:rPr>
          <w:lang w:val="en"/>
        </w:rPr>
        <w:t>Proposal</w:t>
      </w:r>
    </w:p>
    <w:p w:rsidR="00CC580D" w:rsidRDefault="00CC580D" w:rsidP="00CC580D">
      <w:pPr>
        <w:autoSpaceDE w:val="0"/>
        <w:autoSpaceDN w:val="0"/>
        <w:adjustRightInd w:val="0"/>
        <w:spacing w:after="120" w:line="240" w:lineRule="auto"/>
        <w:jc w:val="both"/>
        <w:rPr>
          <w:rFonts w:ascii="Calibri" w:hAnsi="Calibri" w:cs="Calibri"/>
          <w:lang w:val="en"/>
        </w:rPr>
      </w:pPr>
      <w:r>
        <w:rPr>
          <w:rFonts w:ascii="Calibri" w:hAnsi="Calibri" w:cs="Calibri"/>
          <w:lang w:val="en"/>
        </w:rPr>
        <w:t>We propose the text for TR 38.811 on LOS probability and path loss and shadow fading. The LOS probability is based on the agreement with addition of Dense Urban 60⁰ and 80⁰ data from newly generated ray tracing results. The same ray tracing output of Dense Urban and Suburban scenarios are used to extract clutter loss and shadow fading standard deviation in the proposed text. The Urban scenario Table 6.6.2-2 is left blank as a placeholder.</w:t>
      </w:r>
    </w:p>
    <w:p w:rsidR="00CC580D" w:rsidRDefault="00CC580D" w:rsidP="002531FC">
      <w:pPr>
        <w:pStyle w:val="Heading1"/>
        <w:numPr>
          <w:ilvl w:val="0"/>
          <w:numId w:val="0"/>
        </w:numPr>
        <w:rPr>
          <w:lang w:val="en"/>
        </w:rPr>
      </w:pPr>
      <w:r>
        <w:rPr>
          <w:lang w:val="en"/>
        </w:rPr>
        <w:t>References</w:t>
      </w:r>
    </w:p>
    <w:p w:rsidR="00CC580D" w:rsidRDefault="00CC580D" w:rsidP="002531FC">
      <w:pPr>
        <w:numPr>
          <w:ilvl w:val="0"/>
          <w:numId w:val="3"/>
        </w:numPr>
        <w:autoSpaceDE w:val="0"/>
        <w:autoSpaceDN w:val="0"/>
        <w:adjustRightInd w:val="0"/>
        <w:spacing w:after="120" w:line="259" w:lineRule="atLeast"/>
        <w:jc w:val="both"/>
        <w:rPr>
          <w:rFonts w:ascii="Calibri" w:hAnsi="Calibri" w:cs="Calibri"/>
          <w:lang w:val="en"/>
        </w:rPr>
      </w:pPr>
      <w:r>
        <w:rPr>
          <w:rFonts w:ascii="Calibri" w:hAnsi="Calibri" w:cs="Calibri"/>
          <w:lang w:val="en"/>
        </w:rPr>
        <w:t xml:space="preserve">MCC Support, RAN1 Chairman’s Notes RAN1 92bis final, 3GPP TSG RAN WG1 Meeting #92bis, Sanya, China, April 16th – 20th, 2018. </w:t>
      </w:r>
    </w:p>
    <w:p w:rsidR="00CC580D" w:rsidRDefault="00CC580D" w:rsidP="002531FC">
      <w:pPr>
        <w:numPr>
          <w:ilvl w:val="0"/>
          <w:numId w:val="3"/>
        </w:numPr>
        <w:autoSpaceDE w:val="0"/>
        <w:autoSpaceDN w:val="0"/>
        <w:adjustRightInd w:val="0"/>
        <w:spacing w:after="120" w:line="259" w:lineRule="atLeast"/>
        <w:jc w:val="both"/>
        <w:rPr>
          <w:rFonts w:ascii="Calibri" w:hAnsi="Calibri" w:cs="Calibri"/>
          <w:lang w:val="en"/>
        </w:rPr>
      </w:pPr>
      <w:r>
        <w:rPr>
          <w:rFonts w:ascii="Calibri" w:hAnsi="Calibri" w:cs="Calibri"/>
          <w:lang w:val="en"/>
        </w:rPr>
        <w:t>Nokia, Nokia Shanghai Bell, “Path loss model for NTN,” 3GPP TSG RAN WG1 Meeting #92bis, Sanya, China, April 16th – 20th, 2018.</w:t>
      </w:r>
    </w:p>
    <w:p w:rsidR="00CC580D" w:rsidRDefault="00CC580D" w:rsidP="002531FC">
      <w:pPr>
        <w:numPr>
          <w:ilvl w:val="0"/>
          <w:numId w:val="3"/>
        </w:numPr>
        <w:autoSpaceDE w:val="0"/>
        <w:autoSpaceDN w:val="0"/>
        <w:adjustRightInd w:val="0"/>
        <w:spacing w:after="120" w:line="259" w:lineRule="atLeast"/>
        <w:jc w:val="both"/>
        <w:rPr>
          <w:rFonts w:ascii="Calibri" w:hAnsi="Calibri" w:cs="Calibri"/>
          <w:lang w:val="en"/>
        </w:rPr>
      </w:pPr>
      <w:r>
        <w:rPr>
          <w:rFonts w:ascii="Calibri" w:hAnsi="Calibri" w:cs="Calibri"/>
          <w:lang w:val="en"/>
        </w:rPr>
        <w:t>Thales, “NR-NTN Channel Modeling – Large scale parameters,” 3GPP TSG RAN WG1 Meeting #92bis, Sanya, China, April 16th – 20th, 2018.</w:t>
      </w:r>
    </w:p>
    <w:p w:rsidR="00CC580D" w:rsidRDefault="00CC580D" w:rsidP="002531FC">
      <w:pPr>
        <w:numPr>
          <w:ilvl w:val="0"/>
          <w:numId w:val="3"/>
        </w:numPr>
        <w:autoSpaceDE w:val="0"/>
        <w:autoSpaceDN w:val="0"/>
        <w:adjustRightInd w:val="0"/>
        <w:spacing w:after="120" w:line="259" w:lineRule="atLeast"/>
        <w:jc w:val="both"/>
        <w:rPr>
          <w:rFonts w:ascii="Calibri" w:hAnsi="Calibri" w:cs="Calibri"/>
          <w:lang w:val="en"/>
        </w:rPr>
      </w:pPr>
      <w:r>
        <w:rPr>
          <w:rFonts w:ascii="Calibri" w:hAnsi="Calibri" w:cs="Calibri"/>
          <w:lang w:val="en"/>
        </w:rPr>
        <w:t>ZTE, Sanechips, CATR, “Discussion on the large scale channel model for NTN,” 3GPP TSG RAN WG1 Meeting #92bis, Sanya, China, April 16th – 20th, 2018.</w:t>
      </w:r>
    </w:p>
    <w:p w:rsidR="00CC580D" w:rsidRDefault="00CC580D" w:rsidP="002531FC">
      <w:pPr>
        <w:numPr>
          <w:ilvl w:val="0"/>
          <w:numId w:val="3"/>
        </w:numPr>
        <w:autoSpaceDE w:val="0"/>
        <w:autoSpaceDN w:val="0"/>
        <w:adjustRightInd w:val="0"/>
        <w:spacing w:after="120" w:line="259" w:lineRule="atLeast"/>
        <w:jc w:val="both"/>
        <w:rPr>
          <w:rFonts w:ascii="Calibri" w:hAnsi="Calibri" w:cs="Calibri"/>
          <w:lang w:val="en"/>
        </w:rPr>
      </w:pPr>
      <w:r>
        <w:rPr>
          <w:rFonts w:ascii="Calibri" w:hAnsi="Calibri" w:cs="Calibri"/>
          <w:lang w:val="en"/>
        </w:rPr>
        <w:t xml:space="preserve"> Huawei, HiSilicon, “Consideration on GEO and LEO channel models, ” 3GPP TSG RAN WG1 Meeting #92bis, Sanya, China, April 16th – 20th, 2018.</w:t>
      </w:r>
    </w:p>
    <w:p w:rsidR="00785D01" w:rsidRDefault="00785D01">
      <w:pPr>
        <w:rPr>
          <w:rFonts w:eastAsia="MS Mincho"/>
          <w:lang w:eastAsia="ja-JP"/>
        </w:rPr>
      </w:pPr>
      <w:r>
        <w:rPr>
          <w:rFonts w:eastAsia="MS Mincho"/>
          <w:lang w:eastAsia="ja-JP"/>
        </w:rPr>
        <w:br w:type="page"/>
      </w:r>
    </w:p>
    <w:p w:rsidR="005C442C" w:rsidRPr="00ED51D5" w:rsidRDefault="005C442C" w:rsidP="005C442C">
      <w:pPr>
        <w:jc w:val="center"/>
        <w:rPr>
          <w:rFonts w:eastAsia="MS Mincho"/>
          <w:color w:val="FF0000"/>
          <w:lang w:eastAsia="ja-JP"/>
        </w:rPr>
      </w:pPr>
      <w:bookmarkStart w:id="0" w:name="_GoBack"/>
      <w:bookmarkEnd w:id="0"/>
      <w:r w:rsidRPr="00ED51D5">
        <w:rPr>
          <w:rFonts w:eastAsia="MS Mincho" w:hint="eastAsia"/>
          <w:color w:val="FF0000"/>
          <w:lang w:eastAsia="ja-JP"/>
        </w:rPr>
        <w:lastRenderedPageBreak/>
        <w:t>-</w:t>
      </w:r>
      <w:r w:rsidRPr="00ED51D5">
        <w:rPr>
          <w:rFonts w:eastAsia="MS Mincho"/>
          <w:color w:val="FF0000"/>
          <w:lang w:eastAsia="ja-JP"/>
        </w:rPr>
        <w:t>---- start of text proposal -----</w:t>
      </w:r>
    </w:p>
    <w:p w:rsidR="005C442C" w:rsidRDefault="005C442C" w:rsidP="005C442C">
      <w:pPr>
        <w:rPr>
          <w:rFonts w:eastAsia="MS Mincho"/>
          <w:lang w:eastAsia="ja-JP"/>
        </w:rPr>
      </w:pPr>
    </w:p>
    <w:p w:rsidR="005C442C" w:rsidRPr="00B61A40" w:rsidRDefault="005C442C" w:rsidP="005C442C">
      <w:pPr>
        <w:rPr>
          <w:b/>
          <w:lang w:eastAsia="x-none"/>
        </w:rPr>
      </w:pPr>
      <w:r w:rsidRPr="00B61A40">
        <w:rPr>
          <w:b/>
          <w:lang w:eastAsia="x-none"/>
        </w:rPr>
        <w:t>6.</w:t>
      </w:r>
      <w:r>
        <w:rPr>
          <w:b/>
          <w:lang w:eastAsia="x-none"/>
        </w:rPr>
        <w:t>6</w:t>
      </w:r>
      <w:r w:rsidRPr="00B61A40">
        <w:rPr>
          <w:b/>
          <w:lang w:eastAsia="x-none"/>
        </w:rPr>
        <w:t xml:space="preserve">.1 </w:t>
      </w:r>
      <w:r>
        <w:rPr>
          <w:b/>
          <w:lang w:eastAsia="x-none"/>
        </w:rPr>
        <w:t>LOS probability</w:t>
      </w:r>
    </w:p>
    <w:p w:rsidR="005C442C" w:rsidRDefault="005C442C" w:rsidP="005C442C">
      <w:r w:rsidRPr="000B588E">
        <w:t>L</w:t>
      </w:r>
      <w:r>
        <w:t>ine-Of-Sight (LOS) probability</w:t>
      </w:r>
      <w:r w:rsidRPr="000B588E">
        <w:t xml:space="preserve"> depend</w:t>
      </w:r>
      <w:r>
        <w:t>s</w:t>
      </w:r>
      <w:r w:rsidRPr="000B588E">
        <w:t xml:space="preserve"> on UE environ</w:t>
      </w:r>
      <w:r>
        <w:t>ment and elevation angle, and is obtained from Table 6.6.1</w:t>
      </w:r>
      <w:r w:rsidRPr="000B588E">
        <w:t xml:space="preserve">. Reference elevation angles are considered from 10° to 90° with a 10° step. </w:t>
      </w:r>
      <w:r>
        <w:t xml:space="preserve">For an UE-to-satellite or UE-to-HAPS link, the LOS probability is taken from the nearest reference elevation angle. </w:t>
      </w:r>
    </w:p>
    <w:p w:rsidR="005C442C" w:rsidRPr="00040519" w:rsidRDefault="005C442C" w:rsidP="005C442C">
      <w:pPr>
        <w:pStyle w:val="TH"/>
        <w:spacing w:before="240"/>
        <w:rPr>
          <w:lang w:eastAsia="ko-KR"/>
        </w:rPr>
      </w:pPr>
      <w:r w:rsidRPr="00744611">
        <w:t xml:space="preserve">Table </w:t>
      </w:r>
      <w:r>
        <w:t>6.6.1-1</w:t>
      </w:r>
      <w:r w:rsidRPr="00744611">
        <w:t xml:space="preserve"> </w:t>
      </w:r>
      <w:r>
        <w:t>LOS probability</w:t>
      </w:r>
    </w:p>
    <w:tbl>
      <w:tblPr>
        <w:tblStyle w:val="TableGrid"/>
        <w:tblW w:w="0" w:type="auto"/>
        <w:jc w:val="center"/>
        <w:tblLook w:val="04A0" w:firstRow="1" w:lastRow="0" w:firstColumn="1" w:lastColumn="0" w:noHBand="0" w:noVBand="1"/>
      </w:tblPr>
      <w:tblGrid>
        <w:gridCol w:w="1361"/>
        <w:gridCol w:w="1701"/>
        <w:gridCol w:w="1701"/>
        <w:gridCol w:w="2155"/>
      </w:tblGrid>
      <w:tr w:rsidR="005C442C" w:rsidRPr="00863A27" w:rsidTr="000A700C">
        <w:trPr>
          <w:jc w:val="center"/>
        </w:trPr>
        <w:tc>
          <w:tcPr>
            <w:tcW w:w="1361" w:type="dxa"/>
            <w:tcBorders>
              <w:bottom w:val="single" w:sz="4" w:space="0" w:color="auto"/>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Elevation</w:t>
            </w:r>
          </w:p>
        </w:tc>
        <w:tc>
          <w:tcPr>
            <w:tcW w:w="1701" w:type="dxa"/>
            <w:tcBorders>
              <w:left w:val="single" w:sz="4" w:space="0" w:color="auto"/>
              <w:bottom w:val="single" w:sz="4" w:space="0" w:color="auto"/>
            </w:tcBorders>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Dense urban scenario</w:t>
            </w:r>
          </w:p>
        </w:tc>
        <w:tc>
          <w:tcPr>
            <w:tcW w:w="1701" w:type="dxa"/>
            <w:tcBorders>
              <w:bottom w:val="single" w:sz="4" w:space="0" w:color="auto"/>
            </w:tcBorders>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Urban scenario</w:t>
            </w:r>
          </w:p>
        </w:tc>
        <w:tc>
          <w:tcPr>
            <w:tcW w:w="2155" w:type="dxa"/>
            <w:tcBorders>
              <w:bottom w:val="single" w:sz="4" w:space="0" w:color="auto"/>
            </w:tcBorders>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Suburban and Rural scenarios</w:t>
            </w:r>
          </w:p>
        </w:tc>
      </w:tr>
      <w:tr w:rsidR="005C442C" w:rsidRPr="00863A27" w:rsidTr="000A700C">
        <w:trPr>
          <w:jc w:val="center"/>
        </w:trPr>
        <w:tc>
          <w:tcPr>
            <w:tcW w:w="1361" w:type="dxa"/>
            <w:tcBorders>
              <w:top w:val="single" w:sz="4" w:space="0" w:color="auto"/>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10⁰</w:t>
            </w:r>
          </w:p>
        </w:tc>
        <w:tc>
          <w:tcPr>
            <w:tcW w:w="1701" w:type="dxa"/>
            <w:tcBorders>
              <w:top w:val="single" w:sz="4" w:space="0" w:color="auto"/>
              <w:lef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28.2%</w:t>
            </w:r>
          </w:p>
        </w:tc>
        <w:tc>
          <w:tcPr>
            <w:tcW w:w="1701" w:type="dxa"/>
            <w:tcBorders>
              <w:top w:val="single" w:sz="4" w:space="0" w:color="auto"/>
            </w:tcBorders>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24.6%</w:t>
            </w:r>
          </w:p>
        </w:tc>
        <w:tc>
          <w:tcPr>
            <w:tcW w:w="2155" w:type="dxa"/>
            <w:tcBorders>
              <w:top w:val="single" w:sz="4" w:space="0" w:color="auto"/>
            </w:tcBorders>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78.2%</w:t>
            </w:r>
          </w:p>
        </w:tc>
      </w:tr>
      <w:tr w:rsidR="005C442C" w:rsidRPr="00863A27" w:rsidTr="000A700C">
        <w:trPr>
          <w:jc w:val="center"/>
        </w:trPr>
        <w:tc>
          <w:tcPr>
            <w:tcW w:w="1361" w:type="dxa"/>
            <w:tcBorders>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20⁰</w:t>
            </w:r>
          </w:p>
        </w:tc>
        <w:tc>
          <w:tcPr>
            <w:tcW w:w="1701" w:type="dxa"/>
            <w:tcBorders>
              <w:lef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33.1%</w:t>
            </w:r>
          </w:p>
        </w:tc>
        <w:tc>
          <w:tcPr>
            <w:tcW w:w="1701"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38.6%</w:t>
            </w:r>
          </w:p>
        </w:tc>
        <w:tc>
          <w:tcPr>
            <w:tcW w:w="2155"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86.9%</w:t>
            </w:r>
          </w:p>
        </w:tc>
      </w:tr>
      <w:tr w:rsidR="005C442C" w:rsidRPr="00863A27" w:rsidTr="000A700C">
        <w:trPr>
          <w:jc w:val="center"/>
        </w:trPr>
        <w:tc>
          <w:tcPr>
            <w:tcW w:w="1361" w:type="dxa"/>
            <w:tcBorders>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30⁰</w:t>
            </w:r>
          </w:p>
        </w:tc>
        <w:tc>
          <w:tcPr>
            <w:tcW w:w="1701" w:type="dxa"/>
            <w:tcBorders>
              <w:lef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39.8%</w:t>
            </w:r>
          </w:p>
        </w:tc>
        <w:tc>
          <w:tcPr>
            <w:tcW w:w="1701"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49.3%</w:t>
            </w:r>
          </w:p>
        </w:tc>
        <w:tc>
          <w:tcPr>
            <w:tcW w:w="2155"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91.9%</w:t>
            </w:r>
          </w:p>
        </w:tc>
      </w:tr>
      <w:tr w:rsidR="005C442C" w:rsidRPr="00863A27" w:rsidTr="000A700C">
        <w:trPr>
          <w:jc w:val="center"/>
        </w:trPr>
        <w:tc>
          <w:tcPr>
            <w:tcW w:w="1361" w:type="dxa"/>
            <w:tcBorders>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40⁰</w:t>
            </w:r>
          </w:p>
        </w:tc>
        <w:tc>
          <w:tcPr>
            <w:tcW w:w="1701" w:type="dxa"/>
            <w:tcBorders>
              <w:lef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46.8%</w:t>
            </w:r>
          </w:p>
        </w:tc>
        <w:tc>
          <w:tcPr>
            <w:tcW w:w="1701"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61.3%</w:t>
            </w:r>
          </w:p>
        </w:tc>
        <w:tc>
          <w:tcPr>
            <w:tcW w:w="2155"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92.9%</w:t>
            </w:r>
          </w:p>
        </w:tc>
      </w:tr>
      <w:tr w:rsidR="005C442C" w:rsidRPr="00863A27" w:rsidTr="000A700C">
        <w:trPr>
          <w:jc w:val="center"/>
        </w:trPr>
        <w:tc>
          <w:tcPr>
            <w:tcW w:w="1361" w:type="dxa"/>
            <w:tcBorders>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50⁰</w:t>
            </w:r>
          </w:p>
        </w:tc>
        <w:tc>
          <w:tcPr>
            <w:tcW w:w="1701" w:type="dxa"/>
            <w:tcBorders>
              <w:lef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53.7%</w:t>
            </w:r>
          </w:p>
        </w:tc>
        <w:tc>
          <w:tcPr>
            <w:tcW w:w="1701"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72.6%</w:t>
            </w:r>
          </w:p>
        </w:tc>
        <w:tc>
          <w:tcPr>
            <w:tcW w:w="2155"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93.5%</w:t>
            </w:r>
          </w:p>
        </w:tc>
      </w:tr>
      <w:tr w:rsidR="005C442C" w:rsidRPr="00863A27" w:rsidTr="000A700C">
        <w:trPr>
          <w:jc w:val="center"/>
        </w:trPr>
        <w:tc>
          <w:tcPr>
            <w:tcW w:w="1361" w:type="dxa"/>
            <w:tcBorders>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60⁰</w:t>
            </w:r>
          </w:p>
        </w:tc>
        <w:tc>
          <w:tcPr>
            <w:tcW w:w="1701" w:type="dxa"/>
            <w:tcBorders>
              <w:lef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61.2%</w:t>
            </w:r>
          </w:p>
        </w:tc>
        <w:tc>
          <w:tcPr>
            <w:tcW w:w="1701"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80.5%</w:t>
            </w:r>
          </w:p>
        </w:tc>
        <w:tc>
          <w:tcPr>
            <w:tcW w:w="2155"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94.0%</w:t>
            </w:r>
          </w:p>
        </w:tc>
      </w:tr>
      <w:tr w:rsidR="005C442C" w:rsidRPr="00863A27" w:rsidTr="000A700C">
        <w:trPr>
          <w:jc w:val="center"/>
        </w:trPr>
        <w:tc>
          <w:tcPr>
            <w:tcW w:w="1361" w:type="dxa"/>
            <w:tcBorders>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70⁰</w:t>
            </w:r>
          </w:p>
        </w:tc>
        <w:tc>
          <w:tcPr>
            <w:tcW w:w="1701" w:type="dxa"/>
            <w:tcBorders>
              <w:lef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73.8%</w:t>
            </w:r>
          </w:p>
        </w:tc>
        <w:tc>
          <w:tcPr>
            <w:tcW w:w="1701"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91.9%</w:t>
            </w:r>
          </w:p>
        </w:tc>
        <w:tc>
          <w:tcPr>
            <w:tcW w:w="2155"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94.9%</w:t>
            </w:r>
          </w:p>
        </w:tc>
      </w:tr>
      <w:tr w:rsidR="005C442C" w:rsidRPr="00863A27" w:rsidTr="000A700C">
        <w:trPr>
          <w:jc w:val="center"/>
        </w:trPr>
        <w:tc>
          <w:tcPr>
            <w:tcW w:w="1361" w:type="dxa"/>
            <w:tcBorders>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80⁰</w:t>
            </w:r>
          </w:p>
        </w:tc>
        <w:tc>
          <w:tcPr>
            <w:tcW w:w="1701" w:type="dxa"/>
            <w:tcBorders>
              <w:lef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82.0%</w:t>
            </w:r>
          </w:p>
        </w:tc>
        <w:tc>
          <w:tcPr>
            <w:tcW w:w="1701"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96.8%</w:t>
            </w:r>
          </w:p>
        </w:tc>
        <w:tc>
          <w:tcPr>
            <w:tcW w:w="2155"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95.2%</w:t>
            </w:r>
          </w:p>
        </w:tc>
      </w:tr>
      <w:tr w:rsidR="005C442C" w:rsidRPr="00863A27" w:rsidTr="000A700C">
        <w:trPr>
          <w:jc w:val="center"/>
        </w:trPr>
        <w:tc>
          <w:tcPr>
            <w:tcW w:w="1361" w:type="dxa"/>
            <w:tcBorders>
              <w:righ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90⁰</w:t>
            </w:r>
          </w:p>
        </w:tc>
        <w:tc>
          <w:tcPr>
            <w:tcW w:w="1701" w:type="dxa"/>
            <w:tcBorders>
              <w:left w:val="single" w:sz="4" w:space="0" w:color="auto"/>
            </w:tcBorders>
            <w:tcMar>
              <w:top w:w="45" w:type="dxa"/>
              <w:bottom w:w="45" w:type="dxa"/>
            </w:tcMar>
            <w:vAlign w:val="cente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98.1%</w:t>
            </w:r>
          </w:p>
        </w:tc>
        <w:tc>
          <w:tcPr>
            <w:tcW w:w="1701"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99.2%</w:t>
            </w:r>
          </w:p>
        </w:tc>
        <w:tc>
          <w:tcPr>
            <w:tcW w:w="2155" w:type="dxa"/>
            <w:tcMar>
              <w:top w:w="45" w:type="dxa"/>
              <w:bottom w:w="45" w:type="dxa"/>
            </w:tcMar>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99.8%</w:t>
            </w:r>
          </w:p>
        </w:tc>
      </w:tr>
    </w:tbl>
    <w:p w:rsidR="005C442C" w:rsidRPr="00B61A40" w:rsidRDefault="005C442C" w:rsidP="005C442C"/>
    <w:p w:rsidR="005C442C" w:rsidRPr="00635D0D" w:rsidRDefault="005C442C" w:rsidP="005C442C">
      <w:pPr>
        <w:rPr>
          <w:b/>
          <w:lang w:eastAsia="x-none"/>
        </w:rPr>
      </w:pPr>
      <w:r>
        <w:rPr>
          <w:b/>
          <w:lang w:eastAsia="x-none"/>
        </w:rPr>
        <w:t>6.6</w:t>
      </w:r>
      <w:r w:rsidRPr="00635D0D">
        <w:rPr>
          <w:b/>
          <w:lang w:eastAsia="x-none"/>
        </w:rPr>
        <w:t xml:space="preserve">.2 </w:t>
      </w:r>
      <w:r>
        <w:rPr>
          <w:b/>
          <w:lang w:eastAsia="x-none"/>
        </w:rPr>
        <w:t>Path loss and shadow fading</w:t>
      </w:r>
    </w:p>
    <w:p w:rsidR="005C442C" w:rsidRDefault="005C442C" w:rsidP="005C442C">
      <w:r>
        <w:t xml:space="preserve">The signal path between a satellite or HAPS transmitter and an NTN terminal undergoes several stages of propagation and attenuation. The path loss (PL) is composed of components as follows: </w:t>
      </w:r>
    </w:p>
    <w:p w:rsidR="005C442C" w:rsidRDefault="005C442C" w:rsidP="005C442C">
      <w:pPr>
        <w:ind w:left="425" w:firstLine="425"/>
      </w:pP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g</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e</m:t>
            </m:r>
          </m:sub>
        </m:sSub>
      </m:oMath>
      <w:r>
        <w:t xml:space="preserve"> , </w:t>
      </w:r>
    </w:p>
    <w:p w:rsidR="005C442C" w:rsidRDefault="005C442C" w:rsidP="005C442C">
      <w:r>
        <w:t xml:space="preserve">where </w:t>
      </w:r>
      <w:r>
        <w:tab/>
      </w:r>
      <m:oMath>
        <m:r>
          <w:rPr>
            <w:rFonts w:ascii="Cambria Math" w:hAnsi="Cambria Math"/>
          </w:rPr>
          <m:t>PL</m:t>
        </m:r>
      </m:oMath>
      <w:r>
        <w:t xml:space="preserve"> is the total path loss in dB,</w:t>
      </w:r>
    </w:p>
    <w:p w:rsidR="005C442C" w:rsidRDefault="005C442C" w:rsidP="005C442C">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m:t>
            </m:r>
          </m:sub>
        </m:sSub>
      </m:oMath>
      <w:r>
        <w:t xml:space="preserve"> is the basic path loss in dB,</w:t>
      </w:r>
    </w:p>
    <w:p w:rsidR="005C442C" w:rsidRDefault="005C442C" w:rsidP="005C442C">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g</m:t>
            </m:r>
          </m:sub>
        </m:sSub>
      </m:oMath>
      <w:r>
        <w:t xml:space="preserve"> is the attenuation due to atmospheric gasses in dB,</w:t>
      </w:r>
    </w:p>
    <w:p w:rsidR="005C442C" w:rsidRDefault="005C442C" w:rsidP="005C442C">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m:t>
            </m:r>
          </m:sub>
        </m:sSub>
      </m:oMath>
      <w:r>
        <w:t xml:space="preserve"> is </w:t>
      </w:r>
      <w:r w:rsidR="00B81415">
        <w:t xml:space="preserve">the </w:t>
      </w:r>
      <w:r>
        <w:t>a</w:t>
      </w:r>
      <w:r w:rsidRPr="0004714B">
        <w:t>ttenuation due to ei</w:t>
      </w:r>
      <w:r w:rsidR="00B81415">
        <w:t>ther ionospheric or tropospheric</w:t>
      </w:r>
      <w:r w:rsidRPr="0004714B">
        <w:t xml:space="preserve"> scintillation</w:t>
      </w:r>
      <w:r>
        <w:t xml:space="preserve"> in dB,</w:t>
      </w:r>
    </w:p>
    <w:p w:rsidR="005C442C" w:rsidRDefault="005C442C" w:rsidP="005C442C">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e</m:t>
            </m:r>
          </m:sub>
        </m:sSub>
      </m:oMath>
      <w:r>
        <w:t xml:space="preserve"> is building entry loss in dB.</w:t>
      </w:r>
    </w:p>
    <w:p w:rsidR="005C442C" w:rsidRDefault="005C442C" w:rsidP="005C442C">
      <w:pPr>
        <w:spacing w:after="180"/>
        <w:rPr>
          <w:szCs w:val="40"/>
        </w:rPr>
      </w:pPr>
      <w:r>
        <w:t>This section specifies the basic path loss model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m:t>
            </m:r>
          </m:sub>
        </m:sSub>
      </m:oMath>
      <w:r>
        <w:t xml:space="preserve">) which accounts for the signal’s free space propagation,  clutter loss, and shadow fading. </w:t>
      </w:r>
      <w:r>
        <w:rPr>
          <w:szCs w:val="40"/>
        </w:rPr>
        <w:t xml:space="preserve">Attenuations due to building entry loss, atmospheric gasses and scintillation are described in Sections 6.6.3, 6.6.4 and 6.6.6, respectively. </w:t>
      </w:r>
    </w:p>
    <w:p w:rsidR="005C442C" w:rsidRDefault="005C442C" w:rsidP="005C442C">
      <w:r>
        <w:t xml:space="preserve">The free space path loss (FSPL) for a separation distance </w:t>
      </w:r>
      <w:r w:rsidRPr="00BB5480">
        <w:rPr>
          <w:rFonts w:asciiTheme="majorHAnsi" w:hAnsiTheme="majorHAnsi"/>
          <w:i/>
        </w:rPr>
        <w:t>d</w:t>
      </w:r>
      <w:r>
        <w:t xml:space="preserve"> 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in GHz is  </w:t>
      </w:r>
    </w:p>
    <w:p w:rsidR="005C442C" w:rsidRPr="00C32817" w:rsidRDefault="005C442C" w:rsidP="005C442C">
      <w:pPr>
        <w:spacing w:after="240"/>
        <w:ind w:left="425" w:firstLine="425"/>
        <w:rPr>
          <w:szCs w:val="24"/>
          <w:lang w:eastAsia="zh-CN"/>
        </w:rPr>
      </w:pPr>
      <m:oMath>
        <m:r>
          <w:rPr>
            <w:rFonts w:ascii="Cambria Math" w:hAnsi="Cambria Math"/>
            <w:szCs w:val="24"/>
            <w:lang w:eastAsia="zh-CN"/>
          </w:rPr>
          <m:t>FSPL</m:t>
        </m:r>
        <m:d>
          <m:dPr>
            <m:ctrlPr>
              <w:rPr>
                <w:rFonts w:ascii="Cambria Math" w:hAnsi="Cambria Math"/>
                <w:i/>
                <w:szCs w:val="24"/>
                <w:lang w:eastAsia="zh-CN"/>
              </w:rPr>
            </m:ctrlPr>
          </m:dPr>
          <m:e>
            <m:r>
              <w:rPr>
                <w:rFonts w:ascii="Cambria Math" w:hAnsi="Cambria Math"/>
                <w:szCs w:val="24"/>
                <w:lang w:eastAsia="zh-CN"/>
              </w:rPr>
              <m:t xml:space="preserve">d, </m:t>
            </m:r>
            <m:sSub>
              <m:sSubPr>
                <m:ctrlPr>
                  <w:rPr>
                    <w:rFonts w:ascii="Cambria Math" w:hAnsi="Cambria Math"/>
                    <w:i/>
                    <w:szCs w:val="24"/>
                    <w:lang w:eastAsia="zh-CN"/>
                  </w:rPr>
                </m:ctrlPr>
              </m:sSubPr>
              <m:e>
                <m:r>
                  <w:rPr>
                    <w:rFonts w:ascii="Cambria Math" w:hAnsi="Cambria Math"/>
                    <w:szCs w:val="24"/>
                    <w:lang w:eastAsia="zh-CN"/>
                  </w:rPr>
                  <m:t>f</m:t>
                </m:r>
              </m:e>
              <m:sub>
                <m:r>
                  <w:rPr>
                    <w:rFonts w:ascii="Cambria Math" w:hAnsi="Cambria Math"/>
                    <w:szCs w:val="24"/>
                    <w:lang w:eastAsia="zh-CN"/>
                  </w:rPr>
                  <m:t>c</m:t>
                </m:r>
              </m:sub>
            </m:sSub>
          </m:e>
        </m:d>
        <m:r>
          <w:rPr>
            <w:rFonts w:ascii="Cambria Math" w:hAnsi="Cambria Math"/>
            <w:szCs w:val="24"/>
            <w:lang w:eastAsia="zh-CN"/>
          </w:rPr>
          <m:t>=32.45+20</m:t>
        </m:r>
        <m:func>
          <m:funcPr>
            <m:ctrlPr>
              <w:rPr>
                <w:rFonts w:ascii="Cambria Math" w:hAnsi="Cambria Math"/>
                <w:szCs w:val="24"/>
                <w:lang w:eastAsia="zh-CN"/>
              </w:rPr>
            </m:ctrlPr>
          </m:funcPr>
          <m:fName>
            <m:sSub>
              <m:sSubPr>
                <m:ctrlPr>
                  <w:rPr>
                    <w:rFonts w:ascii="Cambria Math" w:hAnsi="Cambria Math"/>
                    <w:szCs w:val="24"/>
                    <w:lang w:eastAsia="zh-CN"/>
                  </w:rPr>
                </m:ctrlPr>
              </m:sSubPr>
              <m:e>
                <m:r>
                  <m:rPr>
                    <m:sty m:val="p"/>
                  </m:rPr>
                  <w:rPr>
                    <w:rFonts w:ascii="Cambria Math" w:hAnsi="Cambria Math"/>
                    <w:szCs w:val="24"/>
                    <w:lang w:eastAsia="zh-CN"/>
                  </w:rPr>
                  <m:t>log</m:t>
                </m:r>
              </m:e>
              <m:sub>
                <m:r>
                  <m:rPr>
                    <m:sty m:val="p"/>
                  </m:rPr>
                  <w:rPr>
                    <w:rFonts w:ascii="Cambria Math" w:hAnsi="Cambria Math"/>
                    <w:szCs w:val="24"/>
                    <w:lang w:eastAsia="zh-CN"/>
                  </w:rPr>
                  <m:t>10</m:t>
                </m:r>
              </m:sub>
            </m:sSub>
            <m:ctrlPr>
              <w:rPr>
                <w:rFonts w:ascii="Cambria Math" w:hAnsi="Cambria Math"/>
                <w:i/>
                <w:szCs w:val="24"/>
                <w:lang w:eastAsia="zh-CN"/>
              </w:rPr>
            </m:ctrlPr>
          </m:fName>
          <m:e>
            <m:d>
              <m:dPr>
                <m:ctrlPr>
                  <w:rPr>
                    <w:rFonts w:ascii="Cambria Math" w:hAnsi="Cambria Math"/>
                    <w:i/>
                    <w:szCs w:val="24"/>
                    <w:lang w:eastAsia="zh-CN"/>
                  </w:rPr>
                </m:ctrlPr>
              </m:dPr>
              <m:e>
                <m:sSub>
                  <m:sSubPr>
                    <m:ctrlPr>
                      <w:rPr>
                        <w:rFonts w:ascii="Cambria Math" w:hAnsi="Cambria Math"/>
                        <w:i/>
                        <w:szCs w:val="24"/>
                        <w:lang w:eastAsia="zh-CN"/>
                      </w:rPr>
                    </m:ctrlPr>
                  </m:sSubPr>
                  <m:e>
                    <m:r>
                      <w:rPr>
                        <w:rFonts w:ascii="Cambria Math" w:hAnsi="Cambria Math"/>
                        <w:szCs w:val="24"/>
                        <w:lang w:eastAsia="zh-CN"/>
                      </w:rPr>
                      <m:t>f</m:t>
                    </m:r>
                  </m:e>
                  <m:sub>
                    <m:r>
                      <w:rPr>
                        <w:rFonts w:ascii="Cambria Math" w:hAnsi="Cambria Math"/>
                        <w:szCs w:val="24"/>
                        <w:lang w:eastAsia="zh-CN"/>
                      </w:rPr>
                      <m:t>c</m:t>
                    </m:r>
                  </m:sub>
                </m:sSub>
              </m:e>
            </m:d>
            <m:ctrlPr>
              <w:rPr>
                <w:rFonts w:ascii="Cambria Math" w:hAnsi="Cambria Math"/>
                <w:i/>
                <w:szCs w:val="24"/>
                <w:lang w:eastAsia="zh-CN"/>
              </w:rPr>
            </m:ctrlPr>
          </m:e>
        </m:func>
        <m:r>
          <w:rPr>
            <w:rFonts w:ascii="Cambria Math" w:hAnsi="Cambria Math"/>
            <w:szCs w:val="24"/>
            <w:lang w:eastAsia="zh-CN"/>
          </w:rPr>
          <m:t>+20</m:t>
        </m:r>
        <m:func>
          <m:funcPr>
            <m:ctrlPr>
              <w:rPr>
                <w:rFonts w:ascii="Cambria Math" w:hAnsi="Cambria Math"/>
                <w:i/>
                <w:iCs/>
                <w:szCs w:val="24"/>
                <w:lang w:eastAsia="zh-CN"/>
              </w:rPr>
            </m:ctrlPr>
          </m:funcPr>
          <m:fName>
            <m:sSub>
              <m:sSubPr>
                <m:ctrlPr>
                  <w:rPr>
                    <w:rFonts w:ascii="Cambria Math" w:hAnsi="Cambria Math"/>
                    <w:i/>
                    <w:iCs/>
                    <w:szCs w:val="24"/>
                    <w:lang w:eastAsia="zh-CN"/>
                  </w:rPr>
                </m:ctrlPr>
              </m:sSubPr>
              <m:e>
                <m:r>
                  <m:rPr>
                    <m:sty m:val="p"/>
                  </m:rPr>
                  <w:rPr>
                    <w:rFonts w:ascii="Cambria Math" w:hAnsi="Cambria Math"/>
                    <w:szCs w:val="24"/>
                    <w:lang w:eastAsia="zh-CN"/>
                  </w:rPr>
                  <m:t>log</m:t>
                </m:r>
              </m:e>
              <m:sub>
                <m:r>
                  <w:rPr>
                    <w:rFonts w:ascii="Cambria Math" w:hAnsi="Cambria Math"/>
                    <w:szCs w:val="24"/>
                    <w:lang w:eastAsia="zh-CN"/>
                  </w:rPr>
                  <m:t>10</m:t>
                </m:r>
              </m:sub>
            </m:sSub>
          </m:fName>
          <m:e>
            <m:d>
              <m:dPr>
                <m:ctrlPr>
                  <w:rPr>
                    <w:rFonts w:ascii="Cambria Math" w:hAnsi="Cambria Math"/>
                    <w:i/>
                    <w:iCs/>
                    <w:szCs w:val="24"/>
                    <w:lang w:eastAsia="zh-CN"/>
                  </w:rPr>
                </m:ctrlPr>
              </m:dPr>
              <m:e>
                <m:r>
                  <w:rPr>
                    <w:rFonts w:ascii="Cambria Math" w:hAnsi="Cambria Math"/>
                    <w:szCs w:val="24"/>
                    <w:lang w:eastAsia="zh-CN"/>
                  </w:rPr>
                  <m:t>d</m:t>
                </m:r>
              </m:e>
            </m:d>
          </m:e>
        </m:func>
      </m:oMath>
      <w:r w:rsidRPr="008D5945">
        <w:rPr>
          <w:b/>
          <w:bCs/>
          <w:szCs w:val="24"/>
          <w:lang w:eastAsia="zh-CN"/>
        </w:rPr>
        <w:t xml:space="preserve">   </w:t>
      </w:r>
      <w:r w:rsidRPr="008D5945">
        <w:rPr>
          <w:bCs/>
          <w:szCs w:val="24"/>
          <w:lang w:eastAsia="zh-CN"/>
        </w:rPr>
        <w:t>dB .</w:t>
      </w:r>
    </w:p>
    <w:p w:rsidR="005C442C" w:rsidRDefault="005C442C" w:rsidP="005C442C">
      <w:pPr>
        <w:rPr>
          <w:lang w:eastAsia="x-none"/>
        </w:rPr>
      </w:pPr>
      <w:r>
        <w:rPr>
          <w:lang w:eastAsia="x-none"/>
        </w:rPr>
        <w:lastRenderedPageBreak/>
        <w:t xml:space="preserve">For a ground terminal, the distance </w:t>
      </w:r>
      <w:r w:rsidRPr="000D0467">
        <w:rPr>
          <w:rFonts w:ascii="Cambria" w:hAnsi="Cambria"/>
          <w:i/>
          <w:lang w:eastAsia="x-none"/>
        </w:rPr>
        <w:t>d</w:t>
      </w:r>
      <w:r>
        <w:rPr>
          <w:lang w:eastAsia="x-none"/>
        </w:rPr>
        <w:t xml:space="preserve"> (a.k.a. slant range), as shown in Figure 6.6.2-1, can be determined by the satellite/HAPS altitude </w:t>
      </w:r>
      <m:oMath>
        <m:sSub>
          <m:sSubPr>
            <m:ctrlPr>
              <w:rPr>
                <w:rFonts w:ascii="Cambria Math" w:hAnsi="Cambria Math"/>
                <w:i/>
                <w:lang w:eastAsia="x-none"/>
              </w:rPr>
            </m:ctrlPr>
          </m:sSubPr>
          <m:e>
            <m:r>
              <w:rPr>
                <w:rFonts w:ascii="Cambria Math" w:hAnsi="Cambria Math"/>
                <w:lang w:eastAsia="x-none"/>
              </w:rPr>
              <m:t>h</m:t>
            </m:r>
          </m:e>
          <m:sub>
            <m:r>
              <w:rPr>
                <w:rFonts w:ascii="Cambria Math" w:hAnsi="Cambria Math"/>
                <w:lang w:eastAsia="x-none"/>
              </w:rPr>
              <m:t>0</m:t>
            </m:r>
          </m:sub>
        </m:sSub>
      </m:oMath>
      <w:r>
        <w:rPr>
          <w:lang w:eastAsia="x-none"/>
        </w:rPr>
        <w:t xml:space="preserve"> and elevation angle </w:t>
      </w:r>
      <m:oMath>
        <m:r>
          <w:rPr>
            <w:rFonts w:ascii="Cambria Math" w:hAnsi="Cambria Math"/>
            <w:lang w:eastAsia="x-none"/>
          </w:rPr>
          <m:t>α</m:t>
        </m:r>
      </m:oMath>
      <w:r>
        <w:rPr>
          <w:lang w:eastAsia="x-none"/>
        </w:rPr>
        <w:t xml:space="preserve"> by</w:t>
      </w:r>
    </w:p>
    <w:p w:rsidR="005C442C" w:rsidRDefault="005C442C" w:rsidP="005C442C">
      <w:pPr>
        <w:ind w:left="425" w:firstLine="425"/>
        <w:rPr>
          <w:szCs w:val="24"/>
          <w:lang w:eastAsia="zh-CN"/>
        </w:rPr>
      </w:pPr>
      <w:r>
        <w:rPr>
          <w:lang w:eastAsia="x-none"/>
        </w:rPr>
        <w:t xml:space="preserve"> </w:t>
      </w:r>
      <m:oMath>
        <m:r>
          <w:rPr>
            <w:rFonts w:ascii="Cambria Math" w:hAnsi="Cambria Math"/>
            <w:szCs w:val="24"/>
            <w:lang w:eastAsia="zh-CN"/>
          </w:rPr>
          <m:t>d=</m:t>
        </m:r>
        <m:rad>
          <m:radPr>
            <m:degHide m:val="1"/>
            <m:ctrlPr>
              <w:rPr>
                <w:rFonts w:ascii="Cambria Math" w:hAnsi="Cambria Math"/>
                <w:i/>
                <w:szCs w:val="24"/>
                <w:lang w:eastAsia="zh-CN"/>
              </w:rPr>
            </m:ctrlPr>
          </m:radPr>
          <m:deg/>
          <m:e>
            <m:d>
              <m:dPr>
                <m:ctrlPr>
                  <w:rPr>
                    <w:rFonts w:ascii="Cambria Math" w:hAnsi="Cambria Math"/>
                    <w:i/>
                    <w:szCs w:val="24"/>
                    <w:lang w:eastAsia="zh-CN"/>
                  </w:rPr>
                </m:ctrlPr>
              </m:dPr>
              <m:e>
                <m:sSubSup>
                  <m:sSubSupPr>
                    <m:ctrlPr>
                      <w:rPr>
                        <w:rFonts w:ascii="Cambria Math" w:hAnsi="Cambria Math"/>
                        <w:i/>
                        <w:szCs w:val="24"/>
                        <w:lang w:eastAsia="zh-CN"/>
                      </w:rPr>
                    </m:ctrlPr>
                  </m:sSubSupPr>
                  <m:e>
                    <m:r>
                      <w:rPr>
                        <w:rFonts w:ascii="Cambria Math" w:hAnsi="Cambria Math"/>
                        <w:szCs w:val="24"/>
                        <w:lang w:eastAsia="zh-CN"/>
                      </w:rPr>
                      <m:t>R</m:t>
                    </m:r>
                  </m:e>
                  <m:sub>
                    <m:r>
                      <w:rPr>
                        <w:rFonts w:ascii="Cambria Math" w:hAnsi="Cambria Math"/>
                        <w:szCs w:val="24"/>
                        <w:lang w:eastAsia="zh-CN"/>
                      </w:rPr>
                      <m:t>E</m:t>
                    </m:r>
                  </m:sub>
                  <m:sup>
                    <m:r>
                      <w:rPr>
                        <w:rFonts w:ascii="Cambria Math" w:hAnsi="Cambria Math"/>
                        <w:szCs w:val="24"/>
                        <w:lang w:eastAsia="zh-CN"/>
                      </w:rPr>
                      <m:t>2</m:t>
                    </m:r>
                  </m:sup>
                </m:sSubSup>
                <m:func>
                  <m:funcPr>
                    <m:ctrlPr>
                      <w:rPr>
                        <w:rFonts w:ascii="Cambria Math" w:hAnsi="Cambria Math"/>
                        <w:i/>
                        <w:szCs w:val="24"/>
                        <w:lang w:eastAsia="zh-CN"/>
                      </w:rPr>
                    </m:ctrlPr>
                  </m:funcPr>
                  <m:fName>
                    <m:sSup>
                      <m:sSupPr>
                        <m:ctrlPr>
                          <w:rPr>
                            <w:rFonts w:ascii="Cambria Math" w:hAnsi="Cambria Math"/>
                            <w:i/>
                            <w:szCs w:val="24"/>
                            <w:lang w:eastAsia="zh-CN"/>
                          </w:rPr>
                        </m:ctrlPr>
                      </m:sSupPr>
                      <m:e>
                        <m:r>
                          <m:rPr>
                            <m:sty m:val="p"/>
                          </m:rPr>
                          <w:rPr>
                            <w:rFonts w:ascii="Cambria Math" w:hAnsi="Cambria Math"/>
                            <w:szCs w:val="24"/>
                            <w:lang w:eastAsia="zh-CN"/>
                          </w:rPr>
                          <m:t>sin</m:t>
                        </m:r>
                      </m:e>
                      <m:sup>
                        <m:r>
                          <w:rPr>
                            <w:rFonts w:ascii="Cambria Math" w:hAnsi="Cambria Math"/>
                            <w:szCs w:val="24"/>
                            <w:lang w:eastAsia="zh-CN"/>
                          </w:rPr>
                          <m:t>2</m:t>
                        </m:r>
                        <m:ctrlPr>
                          <w:rPr>
                            <w:rFonts w:ascii="Cambria Math" w:hAnsi="Cambria Math"/>
                            <w:szCs w:val="24"/>
                            <w:lang w:eastAsia="zh-CN"/>
                          </w:rPr>
                        </m:ctrlPr>
                      </m:sup>
                    </m:sSup>
                  </m:fName>
                  <m:e>
                    <m:r>
                      <w:rPr>
                        <w:rFonts w:ascii="Cambria Math" w:hAnsi="Cambria Math"/>
                        <w:szCs w:val="24"/>
                        <w:lang w:eastAsia="zh-CN"/>
                      </w:rPr>
                      <m:t>α+</m:t>
                    </m:r>
                    <m:sSubSup>
                      <m:sSubSupPr>
                        <m:ctrlPr>
                          <w:rPr>
                            <w:rFonts w:ascii="Cambria Math" w:hAnsi="Cambria Math"/>
                            <w:i/>
                            <w:szCs w:val="24"/>
                            <w:lang w:eastAsia="zh-CN"/>
                          </w:rPr>
                        </m:ctrlPr>
                      </m:sSubSupPr>
                      <m:e>
                        <m:r>
                          <w:rPr>
                            <w:rFonts w:ascii="Cambria Math" w:hAnsi="Cambria Math"/>
                            <w:szCs w:val="24"/>
                            <w:lang w:eastAsia="zh-CN"/>
                          </w:rPr>
                          <m:t>h</m:t>
                        </m:r>
                      </m:e>
                      <m:sub>
                        <m:r>
                          <w:rPr>
                            <w:rFonts w:ascii="Cambria Math" w:hAnsi="Cambria Math"/>
                            <w:szCs w:val="24"/>
                            <w:lang w:eastAsia="zh-CN"/>
                          </w:rPr>
                          <m:t>0</m:t>
                        </m:r>
                      </m:sub>
                      <m:sup>
                        <m:r>
                          <w:rPr>
                            <w:rFonts w:ascii="Cambria Math" w:hAnsi="Cambria Math"/>
                            <w:szCs w:val="24"/>
                            <w:lang w:eastAsia="zh-CN"/>
                          </w:rPr>
                          <m:t>2</m:t>
                        </m:r>
                      </m:sup>
                    </m:sSubSup>
                    <m:r>
                      <w:rPr>
                        <w:rFonts w:ascii="Cambria Math" w:hAnsi="Cambria Math"/>
                        <w:szCs w:val="24"/>
                        <w:lang w:eastAsia="zh-CN"/>
                      </w:rPr>
                      <m:t>+2</m:t>
                    </m:r>
                    <m:sSub>
                      <m:sSubPr>
                        <m:ctrlPr>
                          <w:rPr>
                            <w:rFonts w:ascii="Cambria Math" w:hAnsi="Cambria Math"/>
                            <w:i/>
                            <w:szCs w:val="24"/>
                            <w:lang w:eastAsia="zh-CN"/>
                          </w:rPr>
                        </m:ctrlPr>
                      </m:sSubPr>
                      <m:e>
                        <m:r>
                          <w:rPr>
                            <w:rFonts w:ascii="Cambria Math" w:hAnsi="Cambria Math"/>
                            <w:szCs w:val="24"/>
                            <w:lang w:eastAsia="zh-CN"/>
                          </w:rPr>
                          <m:t>h</m:t>
                        </m:r>
                      </m:e>
                      <m:sub>
                        <m:r>
                          <w:rPr>
                            <w:rFonts w:ascii="Cambria Math" w:hAnsi="Cambria Math"/>
                            <w:szCs w:val="24"/>
                            <w:lang w:eastAsia="zh-CN"/>
                          </w:rPr>
                          <m:t>0</m:t>
                        </m:r>
                      </m:sub>
                    </m:sSub>
                    <m:sSub>
                      <m:sSubPr>
                        <m:ctrlPr>
                          <w:rPr>
                            <w:rFonts w:ascii="Cambria Math" w:hAnsi="Cambria Math"/>
                            <w:i/>
                            <w:szCs w:val="24"/>
                            <w:lang w:eastAsia="zh-CN"/>
                          </w:rPr>
                        </m:ctrlPr>
                      </m:sSubPr>
                      <m:e>
                        <m:r>
                          <w:rPr>
                            <w:rFonts w:ascii="Cambria Math" w:hAnsi="Cambria Math"/>
                            <w:szCs w:val="24"/>
                            <w:lang w:eastAsia="zh-CN"/>
                          </w:rPr>
                          <m:t>R</m:t>
                        </m:r>
                      </m:e>
                      <m:sub>
                        <m:r>
                          <w:rPr>
                            <w:rFonts w:ascii="Cambria Math" w:hAnsi="Cambria Math"/>
                            <w:szCs w:val="24"/>
                            <w:lang w:eastAsia="zh-CN"/>
                          </w:rPr>
                          <m:t>E</m:t>
                        </m:r>
                      </m:sub>
                    </m:sSub>
                  </m:e>
                </m:func>
              </m:e>
            </m:d>
          </m:e>
        </m:rad>
        <m:r>
          <w:rPr>
            <w:rFonts w:ascii="Cambria Math" w:hAnsi="Cambria Math"/>
            <w:szCs w:val="24"/>
            <w:lang w:eastAsia="zh-CN"/>
          </w:rPr>
          <m:t>-</m:t>
        </m:r>
        <m:sSub>
          <m:sSubPr>
            <m:ctrlPr>
              <w:rPr>
                <w:rFonts w:ascii="Cambria Math" w:hAnsi="Cambria Math"/>
                <w:i/>
                <w:szCs w:val="24"/>
                <w:lang w:eastAsia="zh-CN"/>
              </w:rPr>
            </m:ctrlPr>
          </m:sSubPr>
          <m:e>
            <m:r>
              <w:rPr>
                <w:rFonts w:ascii="Cambria Math" w:hAnsi="Cambria Math"/>
                <w:szCs w:val="24"/>
                <w:lang w:eastAsia="zh-CN"/>
              </w:rPr>
              <m:t>R</m:t>
            </m:r>
          </m:e>
          <m:sub>
            <m:r>
              <w:rPr>
                <w:rFonts w:ascii="Cambria Math" w:hAnsi="Cambria Math"/>
                <w:szCs w:val="24"/>
                <w:lang w:eastAsia="zh-CN"/>
              </w:rPr>
              <m:t>E</m:t>
            </m:r>
          </m:sub>
        </m:sSub>
        <m:func>
          <m:funcPr>
            <m:ctrlPr>
              <w:rPr>
                <w:rFonts w:ascii="Cambria Math" w:hAnsi="Cambria Math"/>
                <w:i/>
                <w:szCs w:val="24"/>
                <w:lang w:eastAsia="zh-CN"/>
              </w:rPr>
            </m:ctrlPr>
          </m:funcPr>
          <m:fName>
            <m:r>
              <m:rPr>
                <m:sty m:val="p"/>
              </m:rPr>
              <w:rPr>
                <w:rFonts w:ascii="Cambria Math" w:hAnsi="Cambria Math"/>
                <w:szCs w:val="24"/>
                <w:lang w:eastAsia="zh-CN"/>
              </w:rPr>
              <m:t>sin</m:t>
            </m:r>
          </m:fName>
          <m:e>
            <m:r>
              <w:rPr>
                <w:rFonts w:ascii="Cambria Math" w:hAnsi="Cambria Math"/>
                <w:szCs w:val="24"/>
                <w:lang w:eastAsia="zh-CN"/>
              </w:rPr>
              <m:t>α</m:t>
            </m:r>
          </m:e>
        </m:func>
      </m:oMath>
      <w:r>
        <w:rPr>
          <w:szCs w:val="24"/>
          <w:lang w:eastAsia="zh-CN"/>
        </w:rPr>
        <w:t xml:space="preserve"> , </w:t>
      </w:r>
    </w:p>
    <w:p w:rsidR="005C442C" w:rsidRPr="003A4F3E" w:rsidRDefault="005C442C" w:rsidP="005C442C">
      <w:pPr>
        <w:rPr>
          <w:lang w:eastAsia="x-none"/>
        </w:rPr>
      </w:pPr>
      <w:r>
        <w:rPr>
          <w:lang w:eastAsia="x-none"/>
        </w:rPr>
        <w:t xml:space="preserve">where </w:t>
      </w:r>
      <m:oMath>
        <m:sSub>
          <m:sSubPr>
            <m:ctrlPr>
              <w:rPr>
                <w:rFonts w:ascii="Cambria Math" w:hAnsi="Cambria Math"/>
                <w:i/>
                <w:lang w:eastAsia="x-none"/>
              </w:rPr>
            </m:ctrlPr>
          </m:sSubPr>
          <m:e>
            <m:r>
              <w:rPr>
                <w:rFonts w:ascii="Cambria Math" w:hAnsi="Cambria Math"/>
                <w:lang w:eastAsia="x-none"/>
              </w:rPr>
              <m:t>R</m:t>
            </m:r>
          </m:e>
          <m:sub>
            <m:r>
              <w:rPr>
                <w:rFonts w:ascii="Cambria Math" w:hAnsi="Cambria Math"/>
                <w:lang w:eastAsia="x-none"/>
              </w:rPr>
              <m:t>E</m:t>
            </m:r>
          </m:sub>
        </m:sSub>
      </m:oMath>
      <w:r>
        <w:rPr>
          <w:lang w:eastAsia="x-none"/>
        </w:rPr>
        <w:t xml:space="preserve"> denotes Earth radius.</w:t>
      </w:r>
    </w:p>
    <w:p w:rsidR="005C442C" w:rsidRDefault="005C442C" w:rsidP="005C442C">
      <w:pPr>
        <w:jc w:val="center"/>
      </w:pPr>
      <w:r>
        <w:object w:dxaOrig="8714" w:dyaOrig="11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1.75pt;height:182.8pt;mso-position-horizontal:absolute" o:ole="">
            <v:imagedata r:id="rId8" o:title="" cropbottom="34519f"/>
          </v:shape>
          <o:OLEObject Type="Embed" ProgID="Visio.Drawing.11" ShapeID="_x0000_i1026" DrawAspect="Content" ObjectID="_1587570114" r:id="rId9"/>
        </w:object>
      </w:r>
    </w:p>
    <w:p w:rsidR="005C442C" w:rsidRPr="00491416" w:rsidRDefault="005C442C" w:rsidP="005C442C">
      <w:pPr>
        <w:pStyle w:val="TH"/>
        <w:spacing w:after="240"/>
        <w:rPr>
          <w:lang w:eastAsia="ko-KR"/>
        </w:rPr>
      </w:pPr>
      <w:r>
        <w:t>Figure</w:t>
      </w:r>
      <w:r w:rsidRPr="00744611">
        <w:t xml:space="preserve"> </w:t>
      </w:r>
      <w:r>
        <w:t>6.6.2-1</w:t>
      </w:r>
      <w:r w:rsidRPr="00744611">
        <w:t xml:space="preserve"> </w:t>
      </w:r>
      <w:r>
        <w:t xml:space="preserve">Slant range </w:t>
      </w:r>
      <w:r w:rsidRPr="00FD7ABD">
        <w:rPr>
          <w:rFonts w:asciiTheme="majorHAnsi" w:hAnsiTheme="majorHAnsi" w:cstheme="minorHAnsi"/>
          <w:i/>
        </w:rPr>
        <w:t>d</w:t>
      </w:r>
      <w:r>
        <w:t xml:space="preserve"> between a satellite and a ground terminal</w:t>
      </w:r>
    </w:p>
    <w:p w:rsidR="005C442C" w:rsidRDefault="005C442C" w:rsidP="005C442C">
      <w:pPr>
        <w:rPr>
          <w:lang w:eastAsia="x-none"/>
        </w:rPr>
      </w:pPr>
      <w:r>
        <w:rPr>
          <w:lang w:eastAsia="x-none"/>
        </w:rPr>
        <w:t xml:space="preserve">Clutter loss (CL) models the attenuation of signal power caused by surrounding buildings and objects on the ground. It depends the elevation angle </w:t>
      </w:r>
      <m:oMath>
        <m:r>
          <w:rPr>
            <w:rFonts w:ascii="Cambria Math" w:hAnsi="Cambria Math"/>
            <w:lang w:eastAsia="x-none"/>
          </w:rPr>
          <m:t>α</m:t>
        </m:r>
      </m:oMath>
      <w:r>
        <w:rPr>
          <w:lang w:eastAsia="x-none"/>
        </w:rPr>
        <w:t xml:space="preserve">, the carrier frequency </w:t>
      </w:r>
      <m:oMath>
        <m:sSub>
          <m:sSubPr>
            <m:ctrlPr>
              <w:rPr>
                <w:rFonts w:ascii="Cambria Math" w:hAnsi="Cambria Math"/>
                <w:i/>
                <w:lang w:eastAsia="x-none"/>
              </w:rPr>
            </m:ctrlPr>
          </m:sSubPr>
          <m:e>
            <m:r>
              <w:rPr>
                <w:rFonts w:ascii="Cambria Math" w:hAnsi="Cambria Math"/>
                <w:lang w:eastAsia="x-none"/>
              </w:rPr>
              <m:t>f</m:t>
            </m:r>
          </m:e>
          <m:sub>
            <m:r>
              <w:rPr>
                <w:rFonts w:ascii="Cambria Math" w:hAnsi="Cambria Math"/>
                <w:lang w:eastAsia="x-none"/>
              </w:rPr>
              <m:t>c</m:t>
            </m:r>
          </m:sub>
        </m:sSub>
      </m:oMath>
      <w:r>
        <w:rPr>
          <w:lang w:eastAsia="x-none"/>
        </w:rPr>
        <w:t xml:space="preserve">, and the environment.  </w:t>
      </w:r>
      <w:r>
        <w:rPr>
          <w:rFonts w:eastAsia="MS Mincho"/>
          <w:lang w:eastAsia="ja-JP"/>
        </w:rPr>
        <w:t xml:space="preserve">Shadow fading (SF) is modeled by a log-normal distribution, which when expressed in decibel unit, is a zero-mean normal distribution with a standard deviation </w:t>
      </w:r>
      <m:oMath>
        <m:sSub>
          <m:sSubPr>
            <m:ctrlPr>
              <w:rPr>
                <w:rFonts w:ascii="Cambria Math" w:eastAsia="MS Mincho" w:hAnsi="Cambria Math"/>
                <w:i/>
                <w:lang w:eastAsia="ja-JP"/>
              </w:rPr>
            </m:ctrlPr>
          </m:sSubPr>
          <m:e>
            <m:r>
              <w:rPr>
                <w:rFonts w:ascii="Cambria Math" w:eastAsia="MS Mincho" w:hAnsi="Cambria Math"/>
                <w:lang w:eastAsia="ja-JP"/>
              </w:rPr>
              <m:t>σ</m:t>
            </m:r>
          </m:e>
          <m:sub>
            <m:r>
              <w:rPr>
                <w:rFonts w:ascii="Cambria Math" w:eastAsia="MS Mincho" w:hAnsi="Cambria Math"/>
                <w:lang w:eastAsia="ja-JP"/>
              </w:rPr>
              <m:t>SF</m:t>
            </m:r>
          </m:sub>
        </m:sSub>
      </m:oMath>
      <w:r>
        <w:rPr>
          <w:rFonts w:eastAsia="MS Mincho"/>
          <w:lang w:eastAsia="ja-JP"/>
        </w:rPr>
        <w:t xml:space="preserve">, i.e., </w:t>
      </w:r>
      <m:oMath>
        <m:r>
          <m:rPr>
            <m:scr m:val="script"/>
          </m:rPr>
          <w:rPr>
            <w:rFonts w:ascii="Cambria Math" w:eastAsia="MS Mincho" w:hAnsi="Cambria Math"/>
            <w:lang w:eastAsia="ja-JP"/>
          </w:rPr>
          <m:t>N</m:t>
        </m:r>
        <m:d>
          <m:dPr>
            <m:ctrlPr>
              <w:rPr>
                <w:rFonts w:ascii="Cambria Math" w:eastAsia="MS Mincho" w:hAnsi="Cambria Math"/>
                <w:i/>
                <w:lang w:eastAsia="ja-JP"/>
              </w:rPr>
            </m:ctrlPr>
          </m:dPr>
          <m:e>
            <m:r>
              <w:rPr>
                <w:rFonts w:ascii="Cambria Math" w:eastAsia="MS Mincho" w:hAnsi="Cambria Math"/>
                <w:lang w:eastAsia="ja-JP"/>
              </w:rPr>
              <m:t xml:space="preserve">0, </m:t>
            </m:r>
            <m:sSubSup>
              <m:sSubSupPr>
                <m:ctrlPr>
                  <w:rPr>
                    <w:rFonts w:ascii="Cambria Math" w:eastAsia="MS Mincho" w:hAnsi="Cambria Math"/>
                    <w:i/>
                    <w:lang w:eastAsia="ja-JP"/>
                  </w:rPr>
                </m:ctrlPr>
              </m:sSubSupPr>
              <m:e>
                <m:r>
                  <w:rPr>
                    <w:rFonts w:ascii="Cambria Math" w:eastAsia="MS Mincho" w:hAnsi="Cambria Math"/>
                    <w:lang w:eastAsia="ja-JP"/>
                  </w:rPr>
                  <m:t>σ</m:t>
                </m:r>
              </m:e>
              <m:sub>
                <m:r>
                  <w:rPr>
                    <w:rFonts w:ascii="Cambria Math" w:eastAsia="MS Mincho" w:hAnsi="Cambria Math"/>
                    <w:lang w:eastAsia="ja-JP"/>
                  </w:rPr>
                  <m:t>SF</m:t>
                </m:r>
              </m:sub>
              <m:sup>
                <m:r>
                  <w:rPr>
                    <w:rFonts w:ascii="Cambria Math" w:eastAsia="MS Mincho" w:hAnsi="Cambria Math"/>
                    <w:lang w:eastAsia="ja-JP"/>
                  </w:rPr>
                  <m:t>2</m:t>
                </m:r>
              </m:sup>
            </m:sSubSup>
          </m:e>
        </m:d>
      </m:oMath>
      <w:r>
        <w:rPr>
          <w:rFonts w:eastAsia="MS Mincho"/>
          <w:lang w:eastAsia="ja-JP"/>
        </w:rPr>
        <w:t>.</w:t>
      </w:r>
    </w:p>
    <w:p w:rsidR="005C442C" w:rsidRDefault="005C442C" w:rsidP="005C442C">
      <w:pPr>
        <w:rPr>
          <w:lang w:eastAsia="x-none"/>
        </w:rPr>
      </w:pPr>
      <w:r>
        <w:rPr>
          <w:lang w:eastAsia="x-none"/>
        </w:rPr>
        <w:t xml:space="preserve">The basic path loss in dB unit is modeled as </w:t>
      </w:r>
    </w:p>
    <w:p w:rsidR="005C442C" w:rsidRDefault="005C442C" w:rsidP="005C442C">
      <w:pPr>
        <w:ind w:left="425" w:firstLine="425"/>
        <w:rPr>
          <w:lang w:eastAsia="x-none"/>
        </w:rPr>
      </w:pPr>
      <m:oMath>
        <m:r>
          <w:rPr>
            <w:rFonts w:ascii="Cambria Math" w:hAnsi="Cambria Math"/>
            <w:lang w:eastAsia="x-none"/>
          </w:rPr>
          <m:t>P</m:t>
        </m:r>
        <m:sSub>
          <m:sSubPr>
            <m:ctrlPr>
              <w:rPr>
                <w:rFonts w:ascii="Cambria Math" w:hAnsi="Cambria Math"/>
                <w:i/>
                <w:lang w:eastAsia="x-none"/>
              </w:rPr>
            </m:ctrlPr>
          </m:sSubPr>
          <m:e>
            <m:r>
              <w:rPr>
                <w:rFonts w:ascii="Cambria Math" w:hAnsi="Cambria Math"/>
                <w:lang w:eastAsia="x-none"/>
              </w:rPr>
              <m:t>L</m:t>
            </m:r>
          </m:e>
          <m:sub>
            <m:r>
              <w:rPr>
                <w:rFonts w:ascii="Cambria Math" w:hAnsi="Cambria Math"/>
                <w:lang w:eastAsia="x-none"/>
              </w:rPr>
              <m:t>b</m:t>
            </m:r>
          </m:sub>
        </m:sSub>
        <m:r>
          <w:rPr>
            <w:rFonts w:ascii="Cambria Math" w:hAnsi="Cambria Math"/>
            <w:lang w:eastAsia="x-none"/>
          </w:rPr>
          <m:t>=FSPL</m:t>
        </m:r>
        <m:d>
          <m:dPr>
            <m:ctrlPr>
              <w:rPr>
                <w:rFonts w:ascii="Cambria Math" w:hAnsi="Cambria Math"/>
                <w:i/>
                <w:lang w:eastAsia="x-none"/>
              </w:rPr>
            </m:ctrlPr>
          </m:dPr>
          <m:e>
            <m:r>
              <w:rPr>
                <w:rFonts w:ascii="Cambria Math" w:hAnsi="Cambria Math"/>
                <w:lang w:eastAsia="x-none"/>
              </w:rPr>
              <m:t xml:space="preserve">d, </m:t>
            </m:r>
            <m:sSub>
              <m:sSubPr>
                <m:ctrlPr>
                  <w:rPr>
                    <w:rFonts w:ascii="Cambria Math" w:hAnsi="Cambria Math"/>
                    <w:i/>
                    <w:lang w:eastAsia="x-none"/>
                  </w:rPr>
                </m:ctrlPr>
              </m:sSubPr>
              <m:e>
                <m:r>
                  <w:rPr>
                    <w:rFonts w:ascii="Cambria Math" w:hAnsi="Cambria Math"/>
                    <w:lang w:eastAsia="x-none"/>
                  </w:rPr>
                  <m:t>f</m:t>
                </m:r>
              </m:e>
              <m:sub>
                <m:r>
                  <w:rPr>
                    <w:rFonts w:ascii="Cambria Math" w:hAnsi="Cambria Math"/>
                    <w:lang w:eastAsia="x-none"/>
                  </w:rPr>
                  <m:t>c</m:t>
                </m:r>
              </m:sub>
            </m:sSub>
          </m:e>
        </m:d>
        <m:r>
          <w:rPr>
            <w:rFonts w:ascii="Cambria Math" w:hAnsi="Cambria Math"/>
            <w:lang w:eastAsia="x-none"/>
          </w:rPr>
          <m:t>+CL</m:t>
        </m:r>
        <m:d>
          <m:dPr>
            <m:ctrlPr>
              <w:rPr>
                <w:rFonts w:ascii="Cambria Math" w:hAnsi="Cambria Math"/>
                <w:i/>
                <w:lang w:eastAsia="x-none"/>
              </w:rPr>
            </m:ctrlPr>
          </m:dPr>
          <m:e>
            <m:r>
              <w:rPr>
                <w:rFonts w:ascii="Cambria Math" w:hAnsi="Cambria Math"/>
                <w:lang w:eastAsia="x-none"/>
              </w:rPr>
              <m:t xml:space="preserve">α, </m:t>
            </m:r>
            <m:sSub>
              <m:sSubPr>
                <m:ctrlPr>
                  <w:rPr>
                    <w:rFonts w:ascii="Cambria Math" w:hAnsi="Cambria Math"/>
                    <w:i/>
                    <w:lang w:eastAsia="x-none"/>
                  </w:rPr>
                </m:ctrlPr>
              </m:sSubPr>
              <m:e>
                <m:r>
                  <w:rPr>
                    <w:rFonts w:ascii="Cambria Math" w:hAnsi="Cambria Math"/>
                    <w:lang w:eastAsia="x-none"/>
                  </w:rPr>
                  <m:t>f</m:t>
                </m:r>
              </m:e>
              <m:sub>
                <m:r>
                  <w:rPr>
                    <w:rFonts w:ascii="Cambria Math" w:hAnsi="Cambria Math"/>
                    <w:lang w:eastAsia="x-none"/>
                  </w:rPr>
                  <m:t>c</m:t>
                </m:r>
              </m:sub>
            </m:sSub>
          </m:e>
        </m:d>
        <m:r>
          <w:rPr>
            <w:rFonts w:ascii="Cambria Math" w:hAnsi="Cambria Math"/>
            <w:lang w:eastAsia="x-none"/>
          </w:rPr>
          <m:t>+SF</m:t>
        </m:r>
      </m:oMath>
      <w:r>
        <w:rPr>
          <w:lang w:eastAsia="x-none"/>
        </w:rPr>
        <w:t xml:space="preserve"> ,</w:t>
      </w:r>
    </w:p>
    <w:p w:rsidR="005C442C" w:rsidRDefault="005C442C" w:rsidP="005C442C">
      <w:pPr>
        <w:rPr>
          <w:rFonts w:eastAsia="MS Mincho"/>
          <w:lang w:eastAsia="ja-JP"/>
        </w:rPr>
      </w:pPr>
      <w:r>
        <w:rPr>
          <w:lang w:eastAsia="x-none"/>
        </w:rPr>
        <w:t xml:space="preserve">where </w:t>
      </w:r>
      <m:oMath>
        <m:r>
          <w:rPr>
            <w:rFonts w:ascii="Cambria Math" w:hAnsi="Cambria Math"/>
            <w:lang w:eastAsia="x-none"/>
          </w:rPr>
          <m:t>FSPL</m:t>
        </m:r>
        <m:d>
          <m:dPr>
            <m:ctrlPr>
              <w:rPr>
                <w:rFonts w:ascii="Cambria Math" w:hAnsi="Cambria Math"/>
                <w:i/>
                <w:lang w:eastAsia="x-none"/>
              </w:rPr>
            </m:ctrlPr>
          </m:dPr>
          <m:e>
            <m:r>
              <w:rPr>
                <w:rFonts w:ascii="Cambria Math" w:hAnsi="Cambria Math"/>
                <w:lang w:eastAsia="x-none"/>
              </w:rPr>
              <m:t xml:space="preserve">d, </m:t>
            </m:r>
            <m:sSub>
              <m:sSubPr>
                <m:ctrlPr>
                  <w:rPr>
                    <w:rFonts w:ascii="Cambria Math" w:hAnsi="Cambria Math"/>
                    <w:i/>
                    <w:lang w:eastAsia="x-none"/>
                  </w:rPr>
                </m:ctrlPr>
              </m:sSubPr>
              <m:e>
                <m:r>
                  <w:rPr>
                    <w:rFonts w:ascii="Cambria Math" w:hAnsi="Cambria Math"/>
                    <w:lang w:eastAsia="x-none"/>
                  </w:rPr>
                  <m:t>f</m:t>
                </m:r>
              </m:e>
              <m:sub>
                <m:r>
                  <w:rPr>
                    <w:rFonts w:ascii="Cambria Math" w:hAnsi="Cambria Math"/>
                    <w:lang w:eastAsia="x-none"/>
                  </w:rPr>
                  <m:t>c</m:t>
                </m:r>
              </m:sub>
            </m:sSub>
          </m:e>
        </m:d>
      </m:oMath>
      <w:r>
        <w:rPr>
          <w:lang w:eastAsia="x-none"/>
        </w:rPr>
        <w:t xml:space="preserve"> is the free space path loss, </w:t>
      </w:r>
      <m:oMath>
        <m:r>
          <w:rPr>
            <w:rFonts w:ascii="Cambria Math" w:hAnsi="Cambria Math"/>
            <w:lang w:eastAsia="x-none"/>
          </w:rPr>
          <m:t>CL</m:t>
        </m:r>
        <m:d>
          <m:dPr>
            <m:ctrlPr>
              <w:rPr>
                <w:rFonts w:ascii="Cambria Math" w:hAnsi="Cambria Math"/>
                <w:i/>
                <w:lang w:eastAsia="x-none"/>
              </w:rPr>
            </m:ctrlPr>
          </m:dPr>
          <m:e>
            <m:r>
              <w:rPr>
                <w:rFonts w:ascii="Cambria Math" w:hAnsi="Cambria Math"/>
                <w:lang w:eastAsia="x-none"/>
              </w:rPr>
              <m:t xml:space="preserve">α, </m:t>
            </m:r>
            <m:sSub>
              <m:sSubPr>
                <m:ctrlPr>
                  <w:rPr>
                    <w:rFonts w:ascii="Cambria Math" w:hAnsi="Cambria Math"/>
                    <w:i/>
                    <w:lang w:eastAsia="x-none"/>
                  </w:rPr>
                </m:ctrlPr>
              </m:sSubPr>
              <m:e>
                <m:r>
                  <w:rPr>
                    <w:rFonts w:ascii="Cambria Math" w:hAnsi="Cambria Math"/>
                    <w:lang w:eastAsia="x-none"/>
                  </w:rPr>
                  <m:t>f</m:t>
                </m:r>
              </m:e>
              <m:sub>
                <m:r>
                  <w:rPr>
                    <w:rFonts w:ascii="Cambria Math" w:hAnsi="Cambria Math"/>
                    <w:lang w:eastAsia="x-none"/>
                  </w:rPr>
                  <m:t>c</m:t>
                </m:r>
              </m:sub>
            </m:sSub>
          </m:e>
        </m:d>
      </m:oMath>
      <w:r>
        <w:rPr>
          <w:lang w:eastAsia="x-none"/>
        </w:rPr>
        <w:t xml:space="preserve"> is clutter loss, and </w:t>
      </w:r>
      <m:oMath>
        <m:r>
          <w:rPr>
            <w:rFonts w:ascii="Cambria Math" w:hAnsi="Cambria Math"/>
            <w:lang w:eastAsia="x-none"/>
          </w:rPr>
          <m:t>SF</m:t>
        </m:r>
      </m:oMath>
      <w:r>
        <w:rPr>
          <w:lang w:eastAsia="x-none"/>
        </w:rPr>
        <w:t xml:space="preserve"> is shadow fading loss represented by a random number generated by the normal distribution, i.e., </w:t>
      </w:r>
      <m:oMath>
        <m:r>
          <w:rPr>
            <w:rFonts w:ascii="Cambria Math" w:hAnsi="Cambria Math"/>
            <w:lang w:eastAsia="x-none"/>
          </w:rPr>
          <m:t>SF~</m:t>
        </m:r>
        <m:r>
          <m:rPr>
            <m:scr m:val="script"/>
          </m:rPr>
          <w:rPr>
            <w:rFonts w:ascii="Cambria Math" w:eastAsia="MS Mincho" w:hAnsi="Cambria Math"/>
            <w:lang w:eastAsia="ja-JP"/>
          </w:rPr>
          <m:t>N</m:t>
        </m:r>
        <m:d>
          <m:dPr>
            <m:ctrlPr>
              <w:rPr>
                <w:rFonts w:ascii="Cambria Math" w:eastAsia="MS Mincho" w:hAnsi="Cambria Math"/>
                <w:i/>
                <w:lang w:eastAsia="ja-JP"/>
              </w:rPr>
            </m:ctrlPr>
          </m:dPr>
          <m:e>
            <m:r>
              <w:rPr>
                <w:rFonts w:ascii="Cambria Math" w:eastAsia="MS Mincho" w:hAnsi="Cambria Math"/>
                <w:lang w:eastAsia="ja-JP"/>
              </w:rPr>
              <m:t xml:space="preserve">0, </m:t>
            </m:r>
            <m:sSubSup>
              <m:sSubSupPr>
                <m:ctrlPr>
                  <w:rPr>
                    <w:rFonts w:ascii="Cambria Math" w:eastAsia="MS Mincho" w:hAnsi="Cambria Math"/>
                    <w:i/>
                    <w:lang w:eastAsia="ja-JP"/>
                  </w:rPr>
                </m:ctrlPr>
              </m:sSubSupPr>
              <m:e>
                <m:r>
                  <w:rPr>
                    <w:rFonts w:ascii="Cambria Math" w:eastAsia="MS Mincho" w:hAnsi="Cambria Math"/>
                    <w:lang w:eastAsia="ja-JP"/>
                  </w:rPr>
                  <m:t>σ</m:t>
                </m:r>
              </m:e>
              <m:sub>
                <m:r>
                  <w:rPr>
                    <w:rFonts w:ascii="Cambria Math" w:eastAsia="MS Mincho" w:hAnsi="Cambria Math"/>
                    <w:lang w:eastAsia="ja-JP"/>
                  </w:rPr>
                  <m:t>SF</m:t>
                </m:r>
              </m:sub>
              <m:sup>
                <m:r>
                  <w:rPr>
                    <w:rFonts w:ascii="Cambria Math" w:eastAsia="MS Mincho" w:hAnsi="Cambria Math"/>
                    <w:lang w:eastAsia="ja-JP"/>
                  </w:rPr>
                  <m:t>2</m:t>
                </m:r>
              </m:sup>
            </m:sSubSup>
          </m:e>
        </m:d>
      </m:oMath>
      <w:r>
        <w:rPr>
          <w:lang w:eastAsia="x-none"/>
        </w:rPr>
        <w:t xml:space="preserve">. </w:t>
      </w:r>
      <w:r>
        <w:rPr>
          <w:rFonts w:eastAsia="MS Mincho"/>
          <w:lang w:eastAsia="ja-JP"/>
        </w:rPr>
        <w:t xml:space="preserve">When the UE is in LOS condition, clutter loss is negligible and should be set to 0 dB in the basic path loss model.  </w:t>
      </w:r>
    </w:p>
    <w:p w:rsidR="005C442C" w:rsidRDefault="005C442C" w:rsidP="005C442C">
      <w:pPr>
        <w:rPr>
          <w:rFonts w:eastAsia="MS Mincho"/>
          <w:lang w:eastAsia="ja-JP"/>
        </w:rPr>
      </w:pPr>
      <w:r>
        <w:rPr>
          <w:rFonts w:eastAsia="MS Mincho"/>
          <w:lang w:eastAsia="ja-JP"/>
        </w:rPr>
        <w:t xml:space="preserve">The values of </w:t>
      </w:r>
      <m:oMath>
        <m:sSub>
          <m:sSubPr>
            <m:ctrlPr>
              <w:rPr>
                <w:rFonts w:ascii="Cambria Math" w:eastAsia="MS Mincho" w:hAnsi="Cambria Math"/>
                <w:i/>
                <w:lang w:eastAsia="ja-JP"/>
              </w:rPr>
            </m:ctrlPr>
          </m:sSubPr>
          <m:e>
            <m:r>
              <w:rPr>
                <w:rFonts w:ascii="Cambria Math" w:eastAsia="MS Mincho" w:hAnsi="Cambria Math"/>
                <w:lang w:eastAsia="ja-JP"/>
              </w:rPr>
              <m:t>σ</m:t>
            </m:r>
          </m:e>
          <m:sub>
            <m:r>
              <w:rPr>
                <w:rFonts w:ascii="Cambria Math" w:eastAsia="MS Mincho" w:hAnsi="Cambria Math"/>
                <w:lang w:eastAsia="ja-JP"/>
              </w:rPr>
              <m:t>SF</m:t>
            </m:r>
          </m:sub>
        </m:sSub>
      </m:oMath>
      <w:r>
        <w:rPr>
          <w:rFonts w:eastAsia="MS Mincho"/>
          <w:lang w:eastAsia="ja-JP"/>
        </w:rPr>
        <w:t xml:space="preserve"> and </w:t>
      </w:r>
      <m:oMath>
        <m:r>
          <w:rPr>
            <w:rFonts w:ascii="Cambria Math" w:eastAsia="MS Mincho" w:hAnsi="Cambria Math"/>
            <w:lang w:eastAsia="ja-JP"/>
          </w:rPr>
          <m:t>CL</m:t>
        </m:r>
      </m:oMath>
      <w:r>
        <w:rPr>
          <w:rFonts w:eastAsia="MS Mincho"/>
          <w:lang w:eastAsia="ja-JP"/>
        </w:rPr>
        <w:t xml:space="preserve"> are given in tables 6.6.2-1 to 6.6.2-3 at reference elevation angles for different scenarios. The UE in a particular scenario should take the values corresponding to the reference angle nearest to its elevation angle </w:t>
      </w:r>
      <m:oMath>
        <m:r>
          <w:rPr>
            <w:rFonts w:ascii="Cambria Math" w:eastAsia="MS Mincho" w:hAnsi="Cambria Math"/>
            <w:lang w:eastAsia="ja-JP"/>
          </w:rPr>
          <m:t>α</m:t>
        </m:r>
      </m:oMath>
      <w:r>
        <w:rPr>
          <w:rFonts w:eastAsia="MS Mincho"/>
          <w:lang w:eastAsia="ja-JP"/>
        </w:rPr>
        <w:t>.</w:t>
      </w:r>
    </w:p>
    <w:p w:rsidR="005C442C" w:rsidRPr="00812343" w:rsidRDefault="005C442C" w:rsidP="005C442C">
      <w:pPr>
        <w:pStyle w:val="TH"/>
        <w:spacing w:before="240"/>
        <w:rPr>
          <w:lang w:eastAsia="ko-KR"/>
        </w:rPr>
      </w:pPr>
      <w:r w:rsidRPr="00744611">
        <w:t xml:space="preserve">Table </w:t>
      </w:r>
      <w:r>
        <w:t>6.6.2-1</w:t>
      </w:r>
      <w:r w:rsidRPr="00744611">
        <w:t xml:space="preserve"> </w:t>
      </w:r>
      <w:r>
        <w:t>Shadow fading and clutter loss for Dense urban scenario</w:t>
      </w:r>
    </w:p>
    <w:tbl>
      <w:tblPr>
        <w:tblStyle w:val="TableGrid"/>
        <w:tblW w:w="0" w:type="auto"/>
        <w:jc w:val="center"/>
        <w:tblLook w:val="04A0" w:firstRow="1" w:lastRow="0" w:firstColumn="1" w:lastColumn="0" w:noHBand="0" w:noVBand="1"/>
      </w:tblPr>
      <w:tblGrid>
        <w:gridCol w:w="1021"/>
        <w:gridCol w:w="1227"/>
        <w:gridCol w:w="1134"/>
        <w:gridCol w:w="1021"/>
        <w:gridCol w:w="1134"/>
        <w:gridCol w:w="1134"/>
        <w:gridCol w:w="1021"/>
      </w:tblGrid>
      <w:tr w:rsidR="005C442C" w:rsidTr="000A700C">
        <w:trPr>
          <w:jc w:val="center"/>
        </w:trPr>
        <w:tc>
          <w:tcPr>
            <w:tcW w:w="1021" w:type="dxa"/>
            <w:vMerge w:val="restart"/>
            <w:tcMar>
              <w:top w:w="45" w:type="dxa"/>
              <w:bottom w:w="57" w:type="dxa"/>
            </w:tcMar>
            <w:vAlign w:val="bottom"/>
          </w:tcPr>
          <w:p w:rsidR="005C442C" w:rsidRDefault="005C442C" w:rsidP="000A700C">
            <w:pPr>
              <w:spacing w:after="0"/>
              <w:jc w:val="left"/>
              <w:rPr>
                <w:rFonts w:ascii="Arial" w:eastAsia="MS Mincho" w:hAnsi="Arial" w:cs="Arial"/>
                <w:sz w:val="18"/>
                <w:szCs w:val="18"/>
                <w:lang w:eastAsia="ja-JP"/>
              </w:rPr>
            </w:pPr>
            <w:r>
              <w:rPr>
                <w:rFonts w:ascii="Arial" w:eastAsia="MS Mincho" w:hAnsi="Arial" w:cs="Arial"/>
                <w:sz w:val="18"/>
                <w:szCs w:val="18"/>
                <w:lang w:eastAsia="ja-JP"/>
              </w:rPr>
              <w:t>Elevation</w:t>
            </w:r>
          </w:p>
        </w:tc>
        <w:tc>
          <w:tcPr>
            <w:tcW w:w="3382" w:type="dxa"/>
            <w:gridSpan w:val="3"/>
            <w:tcMar>
              <w:top w:w="45" w:type="dxa"/>
              <w:bottom w:w="57" w:type="dxa"/>
            </w:tcMar>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2 GHz</w:t>
            </w:r>
          </w:p>
        </w:tc>
        <w:tc>
          <w:tcPr>
            <w:tcW w:w="3289" w:type="dxa"/>
            <w:gridSpan w:val="3"/>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20 GHz</w:t>
            </w:r>
          </w:p>
        </w:tc>
      </w:tr>
      <w:tr w:rsidR="005C442C" w:rsidTr="000A700C">
        <w:trPr>
          <w:jc w:val="center"/>
        </w:trPr>
        <w:tc>
          <w:tcPr>
            <w:tcW w:w="1021" w:type="dxa"/>
            <w:vMerge/>
            <w:tcMar>
              <w:top w:w="45" w:type="dxa"/>
              <w:bottom w:w="57" w:type="dxa"/>
            </w:tcMar>
            <w:vAlign w:val="bottom"/>
          </w:tcPr>
          <w:p w:rsidR="005C442C" w:rsidRDefault="005C442C" w:rsidP="000A700C">
            <w:pPr>
              <w:spacing w:after="0"/>
              <w:jc w:val="left"/>
              <w:rPr>
                <w:rFonts w:ascii="Arial" w:eastAsia="MS Mincho" w:hAnsi="Arial" w:cs="Arial"/>
                <w:sz w:val="18"/>
                <w:szCs w:val="18"/>
                <w:lang w:eastAsia="ja-JP"/>
              </w:rPr>
            </w:pPr>
          </w:p>
        </w:tc>
        <w:tc>
          <w:tcPr>
            <w:tcW w:w="1227" w:type="dxa"/>
            <w:tcMar>
              <w:top w:w="45" w:type="dxa"/>
              <w:bottom w:w="57" w:type="dxa"/>
            </w:tcMar>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LOS</w:t>
            </w:r>
          </w:p>
        </w:tc>
        <w:tc>
          <w:tcPr>
            <w:tcW w:w="2155" w:type="dxa"/>
            <w:gridSpan w:val="2"/>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NLOS</w:t>
            </w:r>
          </w:p>
        </w:tc>
        <w:tc>
          <w:tcPr>
            <w:tcW w:w="1134" w:type="dxa"/>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LOS</w:t>
            </w:r>
          </w:p>
        </w:tc>
        <w:tc>
          <w:tcPr>
            <w:tcW w:w="2155" w:type="dxa"/>
            <w:gridSpan w:val="2"/>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NLOS</w:t>
            </w:r>
          </w:p>
        </w:tc>
      </w:tr>
      <w:tr w:rsidR="005C442C" w:rsidTr="000A700C">
        <w:trPr>
          <w:jc w:val="center"/>
        </w:trPr>
        <w:tc>
          <w:tcPr>
            <w:tcW w:w="1021" w:type="dxa"/>
            <w:vMerge/>
            <w:tcMar>
              <w:top w:w="45" w:type="dxa"/>
              <w:bottom w:w="57" w:type="dxa"/>
            </w:tcMar>
            <w:vAlign w:val="bottom"/>
          </w:tcPr>
          <w:p w:rsidR="005C442C" w:rsidRPr="00143F33" w:rsidRDefault="005C442C" w:rsidP="000A700C">
            <w:pPr>
              <w:spacing w:after="0"/>
              <w:jc w:val="left"/>
              <w:rPr>
                <w:rFonts w:ascii="Arial" w:eastAsia="MS Mincho" w:hAnsi="Arial" w:cs="Arial"/>
                <w:sz w:val="18"/>
                <w:szCs w:val="18"/>
                <w:lang w:eastAsia="ja-JP"/>
              </w:rPr>
            </w:pPr>
          </w:p>
        </w:tc>
        <w:tc>
          <w:tcPr>
            <w:tcW w:w="1227" w:type="dxa"/>
            <w:tcMar>
              <w:top w:w="45" w:type="dxa"/>
              <w:bottom w:w="57" w:type="dxa"/>
            </w:tcMar>
            <w:vAlign w:val="bottom"/>
          </w:tcPr>
          <w:p w:rsidR="005C442C" w:rsidRPr="006A67CB" w:rsidRDefault="006A30A3" w:rsidP="000A700C">
            <w:pPr>
              <w:spacing w:after="0"/>
              <w:jc w:val="center"/>
              <w:rPr>
                <w:rFonts w:ascii="Arial" w:eastAsia="MS Mincho" w:hAnsi="Arial" w:cs="Arial"/>
                <w:sz w:val="18"/>
                <w:szCs w:val="18"/>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134" w:type="dxa"/>
            <w:tcMar>
              <w:top w:w="45" w:type="dxa"/>
              <w:bottom w:w="57" w:type="dxa"/>
            </w:tcMar>
            <w:vAlign w:val="bottom"/>
          </w:tcPr>
          <w:p w:rsidR="005C442C" w:rsidRPr="00143F33" w:rsidRDefault="006A30A3" w:rsidP="000A700C">
            <w:pPr>
              <w:spacing w:after="0"/>
              <w:jc w:val="center"/>
              <w:rPr>
                <w:rFonts w:ascii="Arial" w:eastAsia="MS Mincho" w:hAnsi="Arial" w:cs="Arial"/>
                <w:sz w:val="18"/>
                <w:szCs w:val="18"/>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021" w:type="dxa"/>
            <w:tcMar>
              <w:top w:w="45" w:type="dxa"/>
              <w:bottom w:w="57" w:type="dxa"/>
            </w:tcMar>
            <w:vAlign w:val="bottom"/>
          </w:tcPr>
          <w:p w:rsidR="005C442C" w:rsidRPr="006A67CB"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CL (dB)</w:t>
            </w:r>
          </w:p>
        </w:tc>
        <w:tc>
          <w:tcPr>
            <w:tcW w:w="1134" w:type="dxa"/>
            <w:vAlign w:val="bottom"/>
          </w:tcPr>
          <w:p w:rsidR="005C442C" w:rsidRPr="006A67CB" w:rsidRDefault="006A30A3" w:rsidP="000A700C">
            <w:pPr>
              <w:spacing w:after="0"/>
              <w:jc w:val="center"/>
              <w:rPr>
                <w:rFonts w:ascii="Arial" w:eastAsia="MS Mincho" w:hAnsi="Arial" w:cs="Arial"/>
                <w:sz w:val="18"/>
                <w:szCs w:val="18"/>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134" w:type="dxa"/>
            <w:vAlign w:val="bottom"/>
          </w:tcPr>
          <w:p w:rsidR="005C442C" w:rsidRPr="000A700C" w:rsidRDefault="006A30A3" w:rsidP="000A700C">
            <w:pPr>
              <w:spacing w:after="0"/>
              <w:jc w:val="center"/>
              <w:rPr>
                <w:rFonts w:ascii="Arial" w:eastAsia="MS Mincho" w:hAnsi="Arial" w:cs="Arial"/>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021" w:type="dxa"/>
            <w:vAlign w:val="bottom"/>
          </w:tcPr>
          <w:p w:rsidR="005C442C" w:rsidRPr="006A67CB"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CL (dB)</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10⁰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3.5</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15.5</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34.3</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2.9</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17.1</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44.3</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20⁰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3.4</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13.9</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30.9</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2.4</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17.1</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39.9</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30⁰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2.9</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12.4</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29.0</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2.7</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15.6</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37.5</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lastRenderedPageBreak/>
              <w:t>40⁰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3.0</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11.7</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27.7</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2.4</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14.6</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35.8</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50⁰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3.1</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10.6</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26.8</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2.4</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14.2</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34.6</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60⁰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2.7</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10.5</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26.2</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2.7</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12.6</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33.8</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70⁰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2.5</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10.1</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25.8</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2.6</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12.1</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33.3</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80⁰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2.3</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9.2</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25.5</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2.8</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12.3</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33.0</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90⁰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9.2</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25.5</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0.6</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12.3</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32.9</w:t>
            </w:r>
          </w:p>
        </w:tc>
      </w:tr>
    </w:tbl>
    <w:p w:rsidR="005C442C" w:rsidRDefault="005C442C" w:rsidP="005C442C">
      <w:pPr>
        <w:rPr>
          <w:rFonts w:eastAsia="MS Mincho"/>
          <w:lang w:eastAsia="ja-JP"/>
        </w:rPr>
      </w:pPr>
    </w:p>
    <w:p w:rsidR="005C442C" w:rsidRPr="00812343" w:rsidRDefault="005C442C" w:rsidP="005C442C">
      <w:pPr>
        <w:pStyle w:val="TH"/>
        <w:spacing w:before="240"/>
        <w:rPr>
          <w:lang w:eastAsia="ko-KR"/>
        </w:rPr>
      </w:pPr>
      <w:r w:rsidRPr="00744611">
        <w:t xml:space="preserve">Table </w:t>
      </w:r>
      <w:r>
        <w:t>6.6.2-2</w:t>
      </w:r>
      <w:r w:rsidRPr="00744611">
        <w:t xml:space="preserve"> </w:t>
      </w:r>
      <w:r>
        <w:t>Shadow fading and clutter loss for Urban scenario</w:t>
      </w:r>
    </w:p>
    <w:tbl>
      <w:tblPr>
        <w:tblStyle w:val="TableGrid"/>
        <w:tblW w:w="0" w:type="auto"/>
        <w:jc w:val="center"/>
        <w:tblLook w:val="04A0" w:firstRow="1" w:lastRow="0" w:firstColumn="1" w:lastColumn="0" w:noHBand="0" w:noVBand="1"/>
      </w:tblPr>
      <w:tblGrid>
        <w:gridCol w:w="1021"/>
        <w:gridCol w:w="1227"/>
        <w:gridCol w:w="1134"/>
        <w:gridCol w:w="1021"/>
        <w:gridCol w:w="1134"/>
        <w:gridCol w:w="1134"/>
        <w:gridCol w:w="1021"/>
      </w:tblGrid>
      <w:tr w:rsidR="005C442C" w:rsidTr="000A700C">
        <w:trPr>
          <w:jc w:val="center"/>
        </w:trPr>
        <w:tc>
          <w:tcPr>
            <w:tcW w:w="1021" w:type="dxa"/>
            <w:vMerge w:val="restart"/>
            <w:tcMar>
              <w:top w:w="45" w:type="dxa"/>
              <w:bottom w:w="57" w:type="dxa"/>
            </w:tcMar>
            <w:vAlign w:val="bottom"/>
          </w:tcPr>
          <w:p w:rsidR="005C442C" w:rsidRDefault="005C442C" w:rsidP="000A700C">
            <w:pPr>
              <w:spacing w:after="0"/>
              <w:jc w:val="left"/>
              <w:rPr>
                <w:rFonts w:ascii="Arial" w:eastAsia="MS Mincho" w:hAnsi="Arial" w:cs="Arial"/>
                <w:sz w:val="18"/>
                <w:szCs w:val="18"/>
                <w:lang w:eastAsia="ja-JP"/>
              </w:rPr>
            </w:pPr>
            <w:r>
              <w:rPr>
                <w:rFonts w:ascii="Arial" w:eastAsia="MS Mincho" w:hAnsi="Arial" w:cs="Arial"/>
                <w:sz w:val="18"/>
                <w:szCs w:val="18"/>
                <w:lang w:eastAsia="ja-JP"/>
              </w:rPr>
              <w:t>Elevation</w:t>
            </w:r>
          </w:p>
        </w:tc>
        <w:tc>
          <w:tcPr>
            <w:tcW w:w="3382" w:type="dxa"/>
            <w:gridSpan w:val="3"/>
            <w:tcMar>
              <w:top w:w="45" w:type="dxa"/>
              <w:bottom w:w="57" w:type="dxa"/>
            </w:tcMar>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2 GHz</w:t>
            </w:r>
          </w:p>
        </w:tc>
        <w:tc>
          <w:tcPr>
            <w:tcW w:w="3289" w:type="dxa"/>
            <w:gridSpan w:val="3"/>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20 GHz</w:t>
            </w:r>
          </w:p>
        </w:tc>
      </w:tr>
      <w:tr w:rsidR="005C442C" w:rsidTr="000A700C">
        <w:trPr>
          <w:jc w:val="center"/>
        </w:trPr>
        <w:tc>
          <w:tcPr>
            <w:tcW w:w="1021" w:type="dxa"/>
            <w:vMerge/>
            <w:tcMar>
              <w:top w:w="45" w:type="dxa"/>
              <w:bottom w:w="57" w:type="dxa"/>
            </w:tcMar>
            <w:vAlign w:val="bottom"/>
          </w:tcPr>
          <w:p w:rsidR="005C442C" w:rsidRDefault="005C442C" w:rsidP="000A700C">
            <w:pPr>
              <w:spacing w:after="0"/>
              <w:jc w:val="left"/>
              <w:rPr>
                <w:rFonts w:ascii="Arial" w:eastAsia="MS Mincho" w:hAnsi="Arial" w:cs="Arial"/>
                <w:sz w:val="18"/>
                <w:szCs w:val="18"/>
                <w:lang w:eastAsia="ja-JP"/>
              </w:rPr>
            </w:pPr>
          </w:p>
        </w:tc>
        <w:tc>
          <w:tcPr>
            <w:tcW w:w="1227" w:type="dxa"/>
            <w:tcMar>
              <w:top w:w="45" w:type="dxa"/>
              <w:bottom w:w="57" w:type="dxa"/>
            </w:tcMar>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LOS</w:t>
            </w:r>
          </w:p>
        </w:tc>
        <w:tc>
          <w:tcPr>
            <w:tcW w:w="2155" w:type="dxa"/>
            <w:gridSpan w:val="2"/>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NLOS</w:t>
            </w:r>
          </w:p>
        </w:tc>
        <w:tc>
          <w:tcPr>
            <w:tcW w:w="1134" w:type="dxa"/>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LOS</w:t>
            </w:r>
          </w:p>
        </w:tc>
        <w:tc>
          <w:tcPr>
            <w:tcW w:w="2155" w:type="dxa"/>
            <w:gridSpan w:val="2"/>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NLOS</w:t>
            </w:r>
          </w:p>
        </w:tc>
      </w:tr>
      <w:tr w:rsidR="005C442C" w:rsidTr="000A700C">
        <w:trPr>
          <w:jc w:val="center"/>
        </w:trPr>
        <w:tc>
          <w:tcPr>
            <w:tcW w:w="1021" w:type="dxa"/>
            <w:vMerge/>
            <w:tcMar>
              <w:top w:w="45" w:type="dxa"/>
              <w:bottom w:w="57" w:type="dxa"/>
            </w:tcMar>
            <w:vAlign w:val="bottom"/>
          </w:tcPr>
          <w:p w:rsidR="005C442C" w:rsidRPr="00143F33" w:rsidRDefault="005C442C" w:rsidP="000A700C">
            <w:pPr>
              <w:spacing w:after="0"/>
              <w:jc w:val="left"/>
              <w:rPr>
                <w:rFonts w:ascii="Arial" w:eastAsia="MS Mincho" w:hAnsi="Arial" w:cs="Arial"/>
                <w:sz w:val="18"/>
                <w:szCs w:val="18"/>
                <w:lang w:eastAsia="ja-JP"/>
              </w:rPr>
            </w:pPr>
          </w:p>
        </w:tc>
        <w:tc>
          <w:tcPr>
            <w:tcW w:w="1227" w:type="dxa"/>
            <w:tcMar>
              <w:top w:w="45" w:type="dxa"/>
              <w:bottom w:w="57" w:type="dxa"/>
            </w:tcMar>
            <w:vAlign w:val="bottom"/>
          </w:tcPr>
          <w:p w:rsidR="005C442C" w:rsidRPr="006A67CB" w:rsidRDefault="006A30A3" w:rsidP="000A700C">
            <w:pPr>
              <w:spacing w:after="0"/>
              <w:jc w:val="center"/>
              <w:rPr>
                <w:rFonts w:ascii="Arial" w:eastAsia="MS Mincho" w:hAnsi="Arial" w:cs="Arial"/>
                <w:sz w:val="18"/>
                <w:szCs w:val="18"/>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134" w:type="dxa"/>
            <w:tcMar>
              <w:top w:w="45" w:type="dxa"/>
              <w:bottom w:w="57" w:type="dxa"/>
            </w:tcMar>
            <w:vAlign w:val="bottom"/>
          </w:tcPr>
          <w:p w:rsidR="005C442C" w:rsidRPr="00143F33" w:rsidRDefault="006A30A3" w:rsidP="000A700C">
            <w:pPr>
              <w:spacing w:after="0"/>
              <w:jc w:val="center"/>
              <w:rPr>
                <w:rFonts w:ascii="Arial" w:eastAsia="MS Mincho" w:hAnsi="Arial" w:cs="Arial"/>
                <w:sz w:val="18"/>
                <w:szCs w:val="18"/>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021" w:type="dxa"/>
            <w:tcMar>
              <w:top w:w="45" w:type="dxa"/>
              <w:bottom w:w="57" w:type="dxa"/>
            </w:tcMar>
            <w:vAlign w:val="bottom"/>
          </w:tcPr>
          <w:p w:rsidR="005C442C" w:rsidRPr="006A67CB"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CL (dB)</w:t>
            </w:r>
          </w:p>
        </w:tc>
        <w:tc>
          <w:tcPr>
            <w:tcW w:w="1134" w:type="dxa"/>
            <w:vAlign w:val="bottom"/>
          </w:tcPr>
          <w:p w:rsidR="005C442C" w:rsidRPr="006A67CB" w:rsidRDefault="006A30A3" w:rsidP="000A700C">
            <w:pPr>
              <w:spacing w:after="0"/>
              <w:jc w:val="center"/>
              <w:rPr>
                <w:rFonts w:ascii="Arial" w:eastAsia="MS Mincho" w:hAnsi="Arial" w:cs="Arial"/>
                <w:sz w:val="18"/>
                <w:szCs w:val="18"/>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134" w:type="dxa"/>
            <w:vAlign w:val="bottom"/>
          </w:tcPr>
          <w:p w:rsidR="005C442C" w:rsidRPr="002023B9" w:rsidRDefault="006A30A3" w:rsidP="000A700C">
            <w:pPr>
              <w:spacing w:after="0"/>
              <w:jc w:val="center"/>
              <w:rPr>
                <w:rFonts w:ascii="Arial" w:eastAsia="MS Mincho" w:hAnsi="Arial" w:cs="Arial"/>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021" w:type="dxa"/>
            <w:vAlign w:val="bottom"/>
          </w:tcPr>
          <w:p w:rsidR="005C442C" w:rsidRPr="006A67CB"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CL (dB)</w:t>
            </w:r>
          </w:p>
        </w:tc>
      </w:tr>
      <w:tr w:rsidR="005C442C" w:rsidTr="000A700C">
        <w:trPr>
          <w:jc w:val="center"/>
        </w:trPr>
        <w:tc>
          <w:tcPr>
            <w:tcW w:w="1021" w:type="dxa"/>
            <w:tcMar>
              <w:top w:w="45" w:type="dxa"/>
              <w:bottom w:w="57" w:type="dxa"/>
            </w:tcMar>
            <w:vAlign w:val="bottom"/>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10⁰</w:t>
            </w:r>
          </w:p>
        </w:tc>
        <w:tc>
          <w:tcPr>
            <w:tcW w:w="1227"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vAlign w:val="bottom"/>
          </w:tcPr>
          <w:p w:rsidR="005C442C" w:rsidRPr="00143F33" w:rsidRDefault="005C442C" w:rsidP="000A700C">
            <w:pPr>
              <w:spacing w:after="0"/>
              <w:jc w:val="center"/>
              <w:rPr>
                <w:rFonts w:ascii="Arial" w:eastAsia="MS Mincho" w:hAnsi="Arial" w:cs="Arial"/>
                <w:sz w:val="18"/>
                <w:szCs w:val="18"/>
                <w:lang w:eastAsia="ja-JP"/>
              </w:rPr>
            </w:pPr>
          </w:p>
        </w:tc>
      </w:tr>
      <w:tr w:rsidR="005C442C" w:rsidTr="000A700C">
        <w:trPr>
          <w:jc w:val="center"/>
        </w:trPr>
        <w:tc>
          <w:tcPr>
            <w:tcW w:w="1021" w:type="dxa"/>
            <w:tcMar>
              <w:top w:w="45" w:type="dxa"/>
              <w:bottom w:w="57" w:type="dxa"/>
            </w:tcMar>
            <w:vAlign w:val="bottom"/>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20⁰</w:t>
            </w:r>
          </w:p>
        </w:tc>
        <w:tc>
          <w:tcPr>
            <w:tcW w:w="1227"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vAlign w:val="bottom"/>
          </w:tcPr>
          <w:p w:rsidR="005C442C" w:rsidRPr="00143F33" w:rsidRDefault="005C442C" w:rsidP="000A700C">
            <w:pPr>
              <w:spacing w:after="0"/>
              <w:jc w:val="center"/>
              <w:rPr>
                <w:rFonts w:ascii="Arial" w:eastAsia="MS Mincho" w:hAnsi="Arial" w:cs="Arial"/>
                <w:sz w:val="18"/>
                <w:szCs w:val="18"/>
                <w:lang w:eastAsia="ja-JP"/>
              </w:rPr>
            </w:pPr>
          </w:p>
        </w:tc>
      </w:tr>
      <w:tr w:rsidR="005C442C" w:rsidTr="000A700C">
        <w:trPr>
          <w:jc w:val="center"/>
        </w:trPr>
        <w:tc>
          <w:tcPr>
            <w:tcW w:w="1021" w:type="dxa"/>
            <w:tcMar>
              <w:top w:w="45" w:type="dxa"/>
              <w:bottom w:w="57" w:type="dxa"/>
            </w:tcMar>
            <w:vAlign w:val="bottom"/>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30⁰</w:t>
            </w:r>
          </w:p>
        </w:tc>
        <w:tc>
          <w:tcPr>
            <w:tcW w:w="1227"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vAlign w:val="bottom"/>
          </w:tcPr>
          <w:p w:rsidR="005C442C" w:rsidRPr="00143F33" w:rsidRDefault="005C442C" w:rsidP="000A700C">
            <w:pPr>
              <w:spacing w:after="0"/>
              <w:jc w:val="center"/>
              <w:rPr>
                <w:rFonts w:ascii="Arial" w:eastAsia="MS Mincho" w:hAnsi="Arial" w:cs="Arial"/>
                <w:sz w:val="18"/>
                <w:szCs w:val="18"/>
                <w:lang w:eastAsia="ja-JP"/>
              </w:rPr>
            </w:pPr>
          </w:p>
        </w:tc>
      </w:tr>
      <w:tr w:rsidR="005C442C" w:rsidTr="000A700C">
        <w:trPr>
          <w:jc w:val="center"/>
        </w:trPr>
        <w:tc>
          <w:tcPr>
            <w:tcW w:w="1021" w:type="dxa"/>
            <w:tcMar>
              <w:top w:w="45" w:type="dxa"/>
              <w:bottom w:w="57" w:type="dxa"/>
            </w:tcMar>
            <w:vAlign w:val="bottom"/>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40⁰</w:t>
            </w:r>
          </w:p>
        </w:tc>
        <w:tc>
          <w:tcPr>
            <w:tcW w:w="1227"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vAlign w:val="bottom"/>
          </w:tcPr>
          <w:p w:rsidR="005C442C" w:rsidRPr="00143F33" w:rsidRDefault="005C442C" w:rsidP="000A700C">
            <w:pPr>
              <w:spacing w:after="0"/>
              <w:jc w:val="center"/>
              <w:rPr>
                <w:rFonts w:ascii="Arial" w:eastAsia="MS Mincho" w:hAnsi="Arial" w:cs="Arial"/>
                <w:sz w:val="18"/>
                <w:szCs w:val="18"/>
                <w:lang w:eastAsia="ja-JP"/>
              </w:rPr>
            </w:pPr>
          </w:p>
        </w:tc>
      </w:tr>
      <w:tr w:rsidR="005C442C" w:rsidTr="000A700C">
        <w:trPr>
          <w:jc w:val="center"/>
        </w:trPr>
        <w:tc>
          <w:tcPr>
            <w:tcW w:w="1021" w:type="dxa"/>
            <w:tcMar>
              <w:top w:w="45" w:type="dxa"/>
              <w:bottom w:w="57" w:type="dxa"/>
            </w:tcMar>
            <w:vAlign w:val="bottom"/>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50⁰</w:t>
            </w:r>
          </w:p>
        </w:tc>
        <w:tc>
          <w:tcPr>
            <w:tcW w:w="1227"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vAlign w:val="bottom"/>
          </w:tcPr>
          <w:p w:rsidR="005C442C" w:rsidRPr="00143F33" w:rsidRDefault="005C442C" w:rsidP="000A700C">
            <w:pPr>
              <w:spacing w:after="0"/>
              <w:jc w:val="center"/>
              <w:rPr>
                <w:rFonts w:ascii="Arial" w:eastAsia="MS Mincho" w:hAnsi="Arial" w:cs="Arial"/>
                <w:sz w:val="18"/>
                <w:szCs w:val="18"/>
                <w:lang w:eastAsia="ja-JP"/>
              </w:rPr>
            </w:pPr>
          </w:p>
        </w:tc>
      </w:tr>
      <w:tr w:rsidR="005C442C" w:rsidTr="000A700C">
        <w:trPr>
          <w:jc w:val="center"/>
        </w:trPr>
        <w:tc>
          <w:tcPr>
            <w:tcW w:w="1021" w:type="dxa"/>
            <w:tcMar>
              <w:top w:w="45" w:type="dxa"/>
              <w:bottom w:w="57" w:type="dxa"/>
            </w:tcMar>
            <w:vAlign w:val="bottom"/>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60⁰</w:t>
            </w:r>
          </w:p>
        </w:tc>
        <w:tc>
          <w:tcPr>
            <w:tcW w:w="1227"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vAlign w:val="bottom"/>
          </w:tcPr>
          <w:p w:rsidR="005C442C" w:rsidRPr="00143F33" w:rsidRDefault="005C442C" w:rsidP="000A700C">
            <w:pPr>
              <w:spacing w:after="0"/>
              <w:jc w:val="center"/>
              <w:rPr>
                <w:rFonts w:ascii="Arial" w:eastAsia="MS Mincho" w:hAnsi="Arial" w:cs="Arial"/>
                <w:sz w:val="18"/>
                <w:szCs w:val="18"/>
                <w:lang w:eastAsia="ja-JP"/>
              </w:rPr>
            </w:pPr>
          </w:p>
        </w:tc>
      </w:tr>
      <w:tr w:rsidR="005C442C" w:rsidTr="000A700C">
        <w:trPr>
          <w:jc w:val="center"/>
        </w:trPr>
        <w:tc>
          <w:tcPr>
            <w:tcW w:w="1021" w:type="dxa"/>
            <w:tcMar>
              <w:top w:w="45" w:type="dxa"/>
              <w:bottom w:w="57" w:type="dxa"/>
            </w:tcMar>
            <w:vAlign w:val="bottom"/>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70⁰</w:t>
            </w:r>
          </w:p>
        </w:tc>
        <w:tc>
          <w:tcPr>
            <w:tcW w:w="1227"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vAlign w:val="bottom"/>
          </w:tcPr>
          <w:p w:rsidR="005C442C" w:rsidRPr="00143F33" w:rsidRDefault="005C442C" w:rsidP="000A700C">
            <w:pPr>
              <w:spacing w:after="0"/>
              <w:jc w:val="center"/>
              <w:rPr>
                <w:rFonts w:ascii="Arial" w:eastAsia="MS Mincho" w:hAnsi="Arial" w:cs="Arial"/>
                <w:sz w:val="18"/>
                <w:szCs w:val="18"/>
                <w:lang w:eastAsia="ja-JP"/>
              </w:rPr>
            </w:pPr>
          </w:p>
        </w:tc>
      </w:tr>
      <w:tr w:rsidR="005C442C" w:rsidTr="000A700C">
        <w:trPr>
          <w:jc w:val="center"/>
        </w:trPr>
        <w:tc>
          <w:tcPr>
            <w:tcW w:w="1021" w:type="dxa"/>
            <w:tcMar>
              <w:top w:w="45" w:type="dxa"/>
              <w:bottom w:w="57" w:type="dxa"/>
            </w:tcMar>
            <w:vAlign w:val="bottom"/>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80⁰</w:t>
            </w:r>
          </w:p>
        </w:tc>
        <w:tc>
          <w:tcPr>
            <w:tcW w:w="1227"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vAlign w:val="bottom"/>
          </w:tcPr>
          <w:p w:rsidR="005C442C" w:rsidRPr="00143F33" w:rsidRDefault="005C442C" w:rsidP="000A700C">
            <w:pPr>
              <w:spacing w:after="0"/>
              <w:jc w:val="center"/>
              <w:rPr>
                <w:rFonts w:ascii="Arial" w:eastAsia="MS Mincho" w:hAnsi="Arial" w:cs="Arial"/>
                <w:sz w:val="18"/>
                <w:szCs w:val="18"/>
                <w:lang w:eastAsia="ja-JP"/>
              </w:rPr>
            </w:pPr>
          </w:p>
        </w:tc>
      </w:tr>
      <w:tr w:rsidR="005C442C" w:rsidTr="000A700C">
        <w:trPr>
          <w:jc w:val="center"/>
        </w:trPr>
        <w:tc>
          <w:tcPr>
            <w:tcW w:w="1021" w:type="dxa"/>
            <w:tcMar>
              <w:top w:w="45" w:type="dxa"/>
              <w:bottom w:w="57" w:type="dxa"/>
            </w:tcMar>
            <w:vAlign w:val="bottom"/>
          </w:tcPr>
          <w:p w:rsidR="005C442C" w:rsidRPr="00863A27" w:rsidRDefault="005C442C" w:rsidP="000A700C">
            <w:pPr>
              <w:spacing w:after="0"/>
              <w:jc w:val="center"/>
              <w:rPr>
                <w:rFonts w:ascii="Arial" w:hAnsi="Arial" w:cs="Arial"/>
                <w:sz w:val="18"/>
                <w:szCs w:val="18"/>
              </w:rPr>
            </w:pPr>
            <w:r w:rsidRPr="00863A27">
              <w:rPr>
                <w:rFonts w:ascii="Arial" w:hAnsi="Arial" w:cs="Arial"/>
                <w:sz w:val="18"/>
                <w:szCs w:val="18"/>
              </w:rPr>
              <w:t>90⁰</w:t>
            </w:r>
          </w:p>
        </w:tc>
        <w:tc>
          <w:tcPr>
            <w:tcW w:w="1227"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tcMar>
              <w:top w:w="45" w:type="dxa"/>
              <w:bottom w:w="57" w:type="dxa"/>
            </w:tcMar>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134" w:type="dxa"/>
            <w:vAlign w:val="bottom"/>
          </w:tcPr>
          <w:p w:rsidR="005C442C" w:rsidRPr="00143F33" w:rsidRDefault="005C442C" w:rsidP="000A700C">
            <w:pPr>
              <w:spacing w:after="0"/>
              <w:jc w:val="center"/>
              <w:rPr>
                <w:rFonts w:ascii="Arial" w:eastAsia="MS Mincho" w:hAnsi="Arial" w:cs="Arial"/>
                <w:sz w:val="18"/>
                <w:szCs w:val="18"/>
                <w:lang w:eastAsia="ja-JP"/>
              </w:rPr>
            </w:pPr>
          </w:p>
        </w:tc>
        <w:tc>
          <w:tcPr>
            <w:tcW w:w="1021" w:type="dxa"/>
            <w:vAlign w:val="bottom"/>
          </w:tcPr>
          <w:p w:rsidR="005C442C" w:rsidRPr="00143F33" w:rsidRDefault="005C442C" w:rsidP="000A700C">
            <w:pPr>
              <w:spacing w:after="0"/>
              <w:jc w:val="center"/>
              <w:rPr>
                <w:rFonts w:ascii="Arial" w:eastAsia="MS Mincho" w:hAnsi="Arial" w:cs="Arial"/>
                <w:sz w:val="18"/>
                <w:szCs w:val="18"/>
                <w:lang w:eastAsia="ja-JP"/>
              </w:rPr>
            </w:pPr>
          </w:p>
        </w:tc>
      </w:tr>
    </w:tbl>
    <w:p w:rsidR="005C442C" w:rsidRDefault="005C442C" w:rsidP="005C442C">
      <w:pPr>
        <w:rPr>
          <w:rFonts w:eastAsia="MS Mincho"/>
          <w:lang w:eastAsia="ja-JP"/>
        </w:rPr>
      </w:pPr>
    </w:p>
    <w:p w:rsidR="005C442C" w:rsidRPr="00812343" w:rsidRDefault="005C442C" w:rsidP="005C442C">
      <w:pPr>
        <w:pStyle w:val="TH"/>
        <w:spacing w:before="240"/>
        <w:rPr>
          <w:lang w:eastAsia="ko-KR"/>
        </w:rPr>
      </w:pPr>
      <w:r w:rsidRPr="00744611">
        <w:t xml:space="preserve">Table </w:t>
      </w:r>
      <w:r>
        <w:t>6.6.2-3</w:t>
      </w:r>
      <w:r w:rsidRPr="00744611">
        <w:t xml:space="preserve"> </w:t>
      </w:r>
      <w:r>
        <w:t>Shadow fading and clutter loss for Suburban and Rural scenarios</w:t>
      </w:r>
    </w:p>
    <w:tbl>
      <w:tblPr>
        <w:tblStyle w:val="TableGrid"/>
        <w:tblW w:w="0" w:type="auto"/>
        <w:jc w:val="center"/>
        <w:tblLook w:val="04A0" w:firstRow="1" w:lastRow="0" w:firstColumn="1" w:lastColumn="0" w:noHBand="0" w:noVBand="1"/>
      </w:tblPr>
      <w:tblGrid>
        <w:gridCol w:w="1021"/>
        <w:gridCol w:w="1227"/>
        <w:gridCol w:w="1134"/>
        <w:gridCol w:w="1021"/>
        <w:gridCol w:w="1134"/>
        <w:gridCol w:w="1134"/>
        <w:gridCol w:w="1021"/>
      </w:tblGrid>
      <w:tr w:rsidR="005C442C" w:rsidTr="000A700C">
        <w:trPr>
          <w:jc w:val="center"/>
        </w:trPr>
        <w:tc>
          <w:tcPr>
            <w:tcW w:w="1021" w:type="dxa"/>
            <w:vMerge w:val="restart"/>
            <w:tcMar>
              <w:top w:w="45" w:type="dxa"/>
              <w:bottom w:w="57" w:type="dxa"/>
            </w:tcMar>
            <w:vAlign w:val="bottom"/>
          </w:tcPr>
          <w:p w:rsidR="005C442C" w:rsidRDefault="005C442C" w:rsidP="000A700C">
            <w:pPr>
              <w:spacing w:after="0"/>
              <w:jc w:val="left"/>
              <w:rPr>
                <w:rFonts w:ascii="Arial" w:eastAsia="MS Mincho" w:hAnsi="Arial" w:cs="Arial"/>
                <w:sz w:val="18"/>
                <w:szCs w:val="18"/>
                <w:lang w:eastAsia="ja-JP"/>
              </w:rPr>
            </w:pPr>
            <w:r>
              <w:rPr>
                <w:rFonts w:ascii="Arial" w:eastAsia="MS Mincho" w:hAnsi="Arial" w:cs="Arial"/>
                <w:sz w:val="18"/>
                <w:szCs w:val="18"/>
                <w:lang w:eastAsia="ja-JP"/>
              </w:rPr>
              <w:t>Elevation</w:t>
            </w:r>
          </w:p>
        </w:tc>
        <w:tc>
          <w:tcPr>
            <w:tcW w:w="3382" w:type="dxa"/>
            <w:gridSpan w:val="3"/>
            <w:tcMar>
              <w:top w:w="45" w:type="dxa"/>
              <w:bottom w:w="57" w:type="dxa"/>
            </w:tcMar>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2 GHz</w:t>
            </w:r>
          </w:p>
        </w:tc>
        <w:tc>
          <w:tcPr>
            <w:tcW w:w="3289" w:type="dxa"/>
            <w:gridSpan w:val="3"/>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20 GHz</w:t>
            </w:r>
          </w:p>
        </w:tc>
      </w:tr>
      <w:tr w:rsidR="005C442C" w:rsidTr="000A700C">
        <w:trPr>
          <w:jc w:val="center"/>
        </w:trPr>
        <w:tc>
          <w:tcPr>
            <w:tcW w:w="1021" w:type="dxa"/>
            <w:vMerge/>
            <w:tcMar>
              <w:top w:w="45" w:type="dxa"/>
              <w:bottom w:w="57" w:type="dxa"/>
            </w:tcMar>
            <w:vAlign w:val="bottom"/>
          </w:tcPr>
          <w:p w:rsidR="005C442C" w:rsidRDefault="005C442C" w:rsidP="000A700C">
            <w:pPr>
              <w:spacing w:after="0"/>
              <w:jc w:val="left"/>
              <w:rPr>
                <w:rFonts w:ascii="Arial" w:eastAsia="MS Mincho" w:hAnsi="Arial" w:cs="Arial"/>
                <w:sz w:val="18"/>
                <w:szCs w:val="18"/>
                <w:lang w:eastAsia="ja-JP"/>
              </w:rPr>
            </w:pPr>
          </w:p>
        </w:tc>
        <w:tc>
          <w:tcPr>
            <w:tcW w:w="1227" w:type="dxa"/>
            <w:tcMar>
              <w:top w:w="45" w:type="dxa"/>
              <w:bottom w:w="57" w:type="dxa"/>
            </w:tcMar>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LOS</w:t>
            </w:r>
          </w:p>
        </w:tc>
        <w:tc>
          <w:tcPr>
            <w:tcW w:w="2155" w:type="dxa"/>
            <w:gridSpan w:val="2"/>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NLOS</w:t>
            </w:r>
          </w:p>
        </w:tc>
        <w:tc>
          <w:tcPr>
            <w:tcW w:w="1134" w:type="dxa"/>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LOS</w:t>
            </w:r>
          </w:p>
        </w:tc>
        <w:tc>
          <w:tcPr>
            <w:tcW w:w="2155" w:type="dxa"/>
            <w:gridSpan w:val="2"/>
            <w:vAlign w:val="bottom"/>
          </w:tcPr>
          <w:p w:rsidR="005C442C"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NLOS</w:t>
            </w:r>
          </w:p>
        </w:tc>
      </w:tr>
      <w:tr w:rsidR="005C442C" w:rsidTr="000A700C">
        <w:trPr>
          <w:jc w:val="center"/>
        </w:trPr>
        <w:tc>
          <w:tcPr>
            <w:tcW w:w="1021" w:type="dxa"/>
            <w:vMerge/>
            <w:tcMar>
              <w:top w:w="45" w:type="dxa"/>
              <w:bottom w:w="57" w:type="dxa"/>
            </w:tcMar>
            <w:vAlign w:val="bottom"/>
          </w:tcPr>
          <w:p w:rsidR="005C442C" w:rsidRPr="00143F33" w:rsidRDefault="005C442C" w:rsidP="000A700C">
            <w:pPr>
              <w:spacing w:after="0"/>
              <w:jc w:val="left"/>
              <w:rPr>
                <w:rFonts w:ascii="Arial" w:eastAsia="MS Mincho" w:hAnsi="Arial" w:cs="Arial"/>
                <w:sz w:val="18"/>
                <w:szCs w:val="18"/>
                <w:lang w:eastAsia="ja-JP"/>
              </w:rPr>
            </w:pPr>
          </w:p>
        </w:tc>
        <w:tc>
          <w:tcPr>
            <w:tcW w:w="1227" w:type="dxa"/>
            <w:tcMar>
              <w:top w:w="45" w:type="dxa"/>
              <w:bottom w:w="57" w:type="dxa"/>
            </w:tcMar>
            <w:vAlign w:val="bottom"/>
          </w:tcPr>
          <w:p w:rsidR="005C442C" w:rsidRPr="006A67CB" w:rsidRDefault="006A30A3" w:rsidP="000A700C">
            <w:pPr>
              <w:spacing w:after="0"/>
              <w:jc w:val="center"/>
              <w:rPr>
                <w:rFonts w:ascii="Arial" w:eastAsia="MS Mincho" w:hAnsi="Arial" w:cs="Arial"/>
                <w:sz w:val="18"/>
                <w:szCs w:val="18"/>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134" w:type="dxa"/>
            <w:tcMar>
              <w:top w:w="45" w:type="dxa"/>
              <w:bottom w:w="57" w:type="dxa"/>
            </w:tcMar>
            <w:vAlign w:val="bottom"/>
          </w:tcPr>
          <w:p w:rsidR="005C442C" w:rsidRPr="00143F33" w:rsidRDefault="006A30A3" w:rsidP="000A700C">
            <w:pPr>
              <w:spacing w:after="0"/>
              <w:jc w:val="center"/>
              <w:rPr>
                <w:rFonts w:ascii="Arial" w:eastAsia="MS Mincho" w:hAnsi="Arial" w:cs="Arial"/>
                <w:sz w:val="18"/>
                <w:szCs w:val="18"/>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021" w:type="dxa"/>
            <w:tcMar>
              <w:top w:w="45" w:type="dxa"/>
              <w:bottom w:w="57" w:type="dxa"/>
            </w:tcMar>
            <w:vAlign w:val="bottom"/>
          </w:tcPr>
          <w:p w:rsidR="005C442C" w:rsidRPr="006A67CB"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CL (dB)</w:t>
            </w:r>
          </w:p>
        </w:tc>
        <w:tc>
          <w:tcPr>
            <w:tcW w:w="1134" w:type="dxa"/>
            <w:vAlign w:val="bottom"/>
          </w:tcPr>
          <w:p w:rsidR="005C442C" w:rsidRPr="006A67CB" w:rsidRDefault="006A30A3" w:rsidP="000A700C">
            <w:pPr>
              <w:spacing w:after="0"/>
              <w:jc w:val="center"/>
              <w:rPr>
                <w:rFonts w:ascii="Arial" w:eastAsia="MS Mincho" w:hAnsi="Arial" w:cs="Arial"/>
                <w:sz w:val="18"/>
                <w:szCs w:val="18"/>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134" w:type="dxa"/>
            <w:vAlign w:val="bottom"/>
          </w:tcPr>
          <w:p w:rsidR="005C442C" w:rsidRPr="002023B9" w:rsidRDefault="006A30A3" w:rsidP="000A700C">
            <w:pPr>
              <w:spacing w:after="0"/>
              <w:jc w:val="center"/>
              <w:rPr>
                <w:rFonts w:ascii="Arial" w:eastAsia="MS Mincho" w:hAnsi="Arial" w:cs="Arial"/>
                <w:lang w:eastAsia="ja-JP"/>
              </w:rPr>
            </w:pPr>
            <m:oMath>
              <m:sSub>
                <m:sSubPr>
                  <m:ctrlPr>
                    <w:rPr>
                      <w:rFonts w:ascii="Cambria Math" w:eastAsia="MS Mincho" w:hAnsi="Cambria Math" w:cs="Arial"/>
                      <w:i/>
                      <w:lang w:eastAsia="ja-JP"/>
                    </w:rPr>
                  </m:ctrlPr>
                </m:sSubPr>
                <m:e>
                  <m:r>
                    <w:rPr>
                      <w:rFonts w:ascii="Cambria Math" w:eastAsia="MS Mincho" w:hAnsi="Cambria Math" w:cs="Arial"/>
                      <w:lang w:eastAsia="ja-JP"/>
                    </w:rPr>
                    <m:t>σ</m:t>
                  </m:r>
                </m:e>
                <m:sub>
                  <m:r>
                    <w:rPr>
                      <w:rFonts w:ascii="Cambria Math" w:eastAsia="MS Mincho" w:hAnsi="Cambria Math" w:cs="Arial"/>
                      <w:lang w:eastAsia="ja-JP"/>
                    </w:rPr>
                    <m:t>SF</m:t>
                  </m:r>
                </m:sub>
              </m:sSub>
            </m:oMath>
            <w:r w:rsidR="005C442C">
              <w:rPr>
                <w:rFonts w:ascii="Arial" w:eastAsia="MS Mincho" w:hAnsi="Arial" w:cs="Arial"/>
                <w:lang w:eastAsia="ja-JP"/>
              </w:rPr>
              <w:t xml:space="preserve"> </w:t>
            </w:r>
            <w:r w:rsidR="005C442C">
              <w:rPr>
                <w:rFonts w:ascii="Arial" w:eastAsia="MS Mincho" w:hAnsi="Arial" w:cs="Arial"/>
                <w:sz w:val="18"/>
                <w:szCs w:val="18"/>
                <w:lang w:eastAsia="ja-JP"/>
              </w:rPr>
              <w:t>(dB)</w:t>
            </w:r>
          </w:p>
        </w:tc>
        <w:tc>
          <w:tcPr>
            <w:tcW w:w="1021" w:type="dxa"/>
            <w:vAlign w:val="bottom"/>
          </w:tcPr>
          <w:p w:rsidR="005C442C" w:rsidRPr="006A67CB" w:rsidRDefault="005C442C" w:rsidP="000A700C">
            <w:pPr>
              <w:spacing w:after="0"/>
              <w:jc w:val="center"/>
              <w:rPr>
                <w:rFonts w:ascii="Arial" w:eastAsia="MS Mincho" w:hAnsi="Arial" w:cs="Arial"/>
                <w:sz w:val="18"/>
                <w:szCs w:val="18"/>
                <w:lang w:eastAsia="ja-JP"/>
              </w:rPr>
            </w:pPr>
            <w:r>
              <w:rPr>
                <w:rFonts w:ascii="Arial" w:eastAsia="MS Mincho" w:hAnsi="Arial" w:cs="Arial"/>
                <w:sz w:val="18"/>
                <w:szCs w:val="18"/>
                <w:lang w:eastAsia="ja-JP"/>
              </w:rPr>
              <w:t>CL (dB)</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10⁰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2.5</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8.1</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21.6</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1.9</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10.7</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29.5</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20⁰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1.6</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8.2</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18.0</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1.6</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10.0</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24.6</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30⁰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1.6</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7.5</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16.0</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1.9</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11.2</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21.9</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40⁰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1.3</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9.8</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14.7</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2.3</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11.6</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20.0</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50⁰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2.0</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10.9</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13.7</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2.7</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11.8</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18.7</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60⁰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2.2</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11.2</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13.1</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3.1</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10.8</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17.8</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70⁰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8.9</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12.6</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3.0</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10.8</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17.2</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80⁰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8.9</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12.4</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3.6</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10.8</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16.9</w:t>
            </w:r>
          </w:p>
        </w:tc>
      </w:tr>
      <w:tr w:rsidR="00EE44C0" w:rsidTr="000A700C">
        <w:trPr>
          <w:jc w:val="center"/>
        </w:trPr>
        <w:tc>
          <w:tcPr>
            <w:tcW w:w="1021" w:type="dxa"/>
            <w:tcMar>
              <w:top w:w="45" w:type="dxa"/>
              <w:bottom w:w="57" w:type="dxa"/>
            </w:tcMar>
            <w:vAlign w:val="bottom"/>
          </w:tcPr>
          <w:p w:rsidR="00EE44C0" w:rsidRPr="00863A27" w:rsidRDefault="00EE44C0" w:rsidP="00EE44C0">
            <w:pPr>
              <w:spacing w:after="0"/>
              <w:jc w:val="center"/>
              <w:rPr>
                <w:rFonts w:ascii="Arial" w:hAnsi="Arial" w:cs="Arial"/>
                <w:sz w:val="18"/>
                <w:szCs w:val="18"/>
              </w:rPr>
            </w:pPr>
            <w:r w:rsidRPr="00863A27">
              <w:rPr>
                <w:rFonts w:ascii="Arial" w:hAnsi="Arial" w:cs="Arial"/>
                <w:sz w:val="18"/>
                <w:szCs w:val="18"/>
              </w:rPr>
              <w:t>90⁰</w:t>
            </w:r>
          </w:p>
        </w:tc>
        <w:tc>
          <w:tcPr>
            <w:tcW w:w="1227"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0.6</w:t>
            </w:r>
          </w:p>
        </w:tc>
        <w:tc>
          <w:tcPr>
            <w:tcW w:w="1134"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8.9</w:t>
            </w:r>
          </w:p>
        </w:tc>
        <w:tc>
          <w:tcPr>
            <w:tcW w:w="1021" w:type="dxa"/>
            <w:tcMar>
              <w:top w:w="45" w:type="dxa"/>
              <w:bottom w:w="57" w:type="dxa"/>
            </w:tcMar>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12.3</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0.4</w:t>
            </w:r>
          </w:p>
        </w:tc>
        <w:tc>
          <w:tcPr>
            <w:tcW w:w="1134"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10.8</w:t>
            </w:r>
          </w:p>
        </w:tc>
        <w:tc>
          <w:tcPr>
            <w:tcW w:w="1021" w:type="dxa"/>
            <w:vAlign w:val="bottom"/>
          </w:tcPr>
          <w:p w:rsidR="00EE44C0" w:rsidRDefault="00EE44C0" w:rsidP="00EE44C0">
            <w:pPr>
              <w:spacing w:after="0"/>
              <w:jc w:val="center"/>
              <w:rPr>
                <w:rFonts w:ascii="Calibri" w:hAnsi="Calibri" w:cs="Calibri"/>
                <w:lang w:val="en"/>
              </w:rPr>
            </w:pPr>
            <w:r>
              <w:rPr>
                <w:rFonts w:ascii="Arial" w:hAnsi="Arial" w:cs="Arial"/>
                <w:sz w:val="18"/>
                <w:szCs w:val="18"/>
                <w:lang w:val="en"/>
              </w:rPr>
              <w:t>16.8</w:t>
            </w:r>
          </w:p>
        </w:tc>
      </w:tr>
    </w:tbl>
    <w:p w:rsidR="005C442C" w:rsidRDefault="005C442C" w:rsidP="005C442C">
      <w:pPr>
        <w:rPr>
          <w:rFonts w:eastAsia="MS Mincho"/>
          <w:lang w:eastAsia="ja-JP"/>
        </w:rPr>
      </w:pPr>
    </w:p>
    <w:p w:rsidR="005C442C" w:rsidRDefault="005C442C" w:rsidP="005C442C">
      <w:pPr>
        <w:jc w:val="center"/>
        <w:rPr>
          <w:rFonts w:eastAsia="MS Mincho"/>
          <w:color w:val="FF0000"/>
          <w:lang w:eastAsia="ja-JP"/>
        </w:rPr>
      </w:pPr>
      <w:r w:rsidRPr="00ED51D5">
        <w:rPr>
          <w:rFonts w:eastAsia="MS Mincho" w:hint="eastAsia"/>
          <w:color w:val="FF0000"/>
          <w:lang w:eastAsia="ja-JP"/>
        </w:rPr>
        <w:t>-</w:t>
      </w:r>
      <w:r w:rsidRPr="00ED51D5">
        <w:rPr>
          <w:rFonts w:eastAsia="MS Mincho"/>
          <w:color w:val="FF0000"/>
          <w:lang w:eastAsia="ja-JP"/>
        </w:rPr>
        <w:t xml:space="preserve">---- </w:t>
      </w:r>
      <w:r>
        <w:rPr>
          <w:rFonts w:eastAsia="MS Mincho"/>
          <w:color w:val="FF0000"/>
          <w:lang w:eastAsia="ja-JP"/>
        </w:rPr>
        <w:t>end</w:t>
      </w:r>
      <w:r w:rsidRPr="00ED51D5">
        <w:rPr>
          <w:rFonts w:eastAsia="MS Mincho"/>
          <w:color w:val="FF0000"/>
          <w:lang w:eastAsia="ja-JP"/>
        </w:rPr>
        <w:t xml:space="preserve"> of text proposal -----</w:t>
      </w:r>
    </w:p>
    <w:p w:rsidR="00EE44C0" w:rsidRPr="00ED51D5" w:rsidRDefault="00EE44C0" w:rsidP="005C442C">
      <w:pPr>
        <w:jc w:val="center"/>
        <w:rPr>
          <w:rFonts w:eastAsia="MS Mincho"/>
          <w:color w:val="FF0000"/>
          <w:lang w:eastAsia="ja-JP"/>
        </w:rPr>
      </w:pPr>
    </w:p>
    <w:sectPr w:rsidR="00EE44C0" w:rsidRPr="00ED51D5" w:rsidSect="000A700C">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0A3" w:rsidRDefault="006A30A3" w:rsidP="00CC580D">
      <w:pPr>
        <w:spacing w:after="0" w:line="240" w:lineRule="auto"/>
      </w:pPr>
      <w:r>
        <w:separator/>
      </w:r>
    </w:p>
  </w:endnote>
  <w:endnote w:type="continuationSeparator" w:id="0">
    <w:p w:rsidR="006A30A3" w:rsidRDefault="006A30A3" w:rsidP="00CC5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0A3" w:rsidRDefault="006A30A3" w:rsidP="00CC580D">
      <w:pPr>
        <w:spacing w:after="0" w:line="240" w:lineRule="auto"/>
      </w:pPr>
      <w:r>
        <w:separator/>
      </w:r>
    </w:p>
  </w:footnote>
  <w:footnote w:type="continuationSeparator" w:id="0">
    <w:p w:rsidR="006A30A3" w:rsidRDefault="006A30A3" w:rsidP="00CC58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D86757A"/>
    <w:lvl w:ilvl="0">
      <w:numFmt w:val="bullet"/>
      <w:lvlText w:val="*"/>
      <w:lvlJc w:val="left"/>
    </w:lvl>
  </w:abstractNum>
  <w:abstractNum w:abstractNumId="1" w15:restartNumberingAfterBreak="0">
    <w:nsid w:val="192B4EC1"/>
    <w:multiLevelType w:val="hybridMultilevel"/>
    <w:tmpl w:val="EC2622E0"/>
    <w:lvl w:ilvl="0" w:tplc="9DA8D51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2A49C9"/>
    <w:multiLevelType w:val="hybridMultilevel"/>
    <w:tmpl w:val="F04EA78A"/>
    <w:lvl w:ilvl="0" w:tplc="1F58D9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E92"/>
    <w:rsid w:val="002531FC"/>
    <w:rsid w:val="003D75BB"/>
    <w:rsid w:val="004423DA"/>
    <w:rsid w:val="005C442C"/>
    <w:rsid w:val="006A30A3"/>
    <w:rsid w:val="006A7B5A"/>
    <w:rsid w:val="006F75DC"/>
    <w:rsid w:val="00785D01"/>
    <w:rsid w:val="00B81415"/>
    <w:rsid w:val="00C32358"/>
    <w:rsid w:val="00C3574A"/>
    <w:rsid w:val="00CC580D"/>
    <w:rsid w:val="00E56EA6"/>
    <w:rsid w:val="00EE44C0"/>
    <w:rsid w:val="00F41E92"/>
    <w:rsid w:val="00FA6E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4C375"/>
  <w15:chartTrackingRefBased/>
  <w15:docId w15:val="{B38E6223-124E-4BA3-AD35-832709C3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31FC"/>
  </w:style>
  <w:style w:type="paragraph" w:styleId="Heading1">
    <w:name w:val="heading 1"/>
    <w:basedOn w:val="Normal"/>
    <w:next w:val="Normal"/>
    <w:link w:val="Heading1Char"/>
    <w:uiPriority w:val="9"/>
    <w:qFormat/>
    <w:rsid w:val="002531FC"/>
    <w:pPr>
      <w:keepNext/>
      <w:keepLines/>
      <w:numPr>
        <w:numId w:val="2"/>
      </w:numPr>
      <w:spacing w:before="240" w:after="120"/>
      <w:ind w:left="357" w:hanging="357"/>
      <w:outlineLvl w:val="0"/>
    </w:pPr>
    <w:rPr>
      <w:rFonts w:ascii="Arial" w:eastAsiaTheme="majorEastAsia" w:hAnsi="Arial" w:cstheme="majorBidi"/>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1FC"/>
    <w:rPr>
      <w:rFonts w:ascii="Arial" w:eastAsiaTheme="majorEastAsia" w:hAnsi="Arial" w:cstheme="majorBidi"/>
      <w:sz w:val="28"/>
      <w:szCs w:val="32"/>
    </w:rPr>
  </w:style>
  <w:style w:type="table" w:styleId="TableGrid">
    <w:name w:val="Table Grid"/>
    <w:basedOn w:val="TableNormal"/>
    <w:uiPriority w:val="59"/>
    <w:qFormat/>
    <w:rsid w:val="005C442C"/>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C442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5C442C"/>
    <w:rPr>
      <w:rFonts w:ascii="Arial"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1148</Words>
  <Characters>6548</Characters>
  <Application>Microsoft Office Word</Application>
  <DocSecurity>0</DocSecurity>
  <Lines>54</Lines>
  <Paragraphs>15</Paragraphs>
  <ScaleCrop>false</ScaleCrop>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Hsieh, Frank (Nokia - US/Naperville)</dc:creator>
  <cp:keywords/>
  <dc:description/>
  <cp:lastModifiedBy>Hsieh, Frank (Nokia - US/Naperville)</cp:lastModifiedBy>
  <cp:revision>12</cp:revision>
  <dcterms:created xsi:type="dcterms:W3CDTF">2018-05-11T23:32:00Z</dcterms:created>
  <dcterms:modified xsi:type="dcterms:W3CDTF">2018-05-11T23:55:00Z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Ref">
    <vt:lpwstr>https://api.informationprotection.azure.com/api/5d471751-9675-428d-917b-70f44f9630b0</vt:lpwstr>
  </property>
  <property fmtid="{D5CDD505-2E9C-101B-9397-08002B2CF9AE}" pid="5" name="MSIP_Label_b1aa2129-79ec-42c0-bfac-e5b7a0374572_Owner">
    <vt:lpwstr>frank.hsieh@nokia-bell-labs.com</vt:lpwstr>
  </property>
  <property fmtid="{D5CDD505-2E9C-101B-9397-08002B2CF9AE}" pid="6" name="MSIP_Label_b1aa2129-79ec-42c0-bfac-e5b7a0374572_SetDate">
    <vt:lpwstr>2018-05-11T18:45:50.7888591-05:00</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